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e51cd624e05f4385a35858fb18683a92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B1、专精图及单针下30三种技术形态的实战辨析。通过多道图表题解析，强调“看不懂就不干”的核心原则，指出筹码集中需区分机构与散户，警惕刻意图形和三波上涨风险。视频评估了不同市场波段适用的策略，建议60分以下者减少操作，高分者需注重知行合一与后续应对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0259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ad49882-5fb2-455d-beb3-bd0b1c63dba7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B1形态辨析与筹码分析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46be30f-4724-41af-8c39-ecf1a417a314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核心观点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：筹码集中需区分是集中在散户还是机构手中，若集中在散户则坚决不干。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f9fcc7f-dca2-44bf-bcce-c2f6c6a170fe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案例解析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：针对特定图表，标准答案为“绝逼不能干”，强调即使图形看似完美，若筹码结构不佳或逻辑不通，亦不可操作。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5552aa1-e6f0-4d8f-a062-85ddc44ac317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专精图形态识别与操作 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14156cf-d16b-4c1a-87f9-20a30c00a7de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完美图案特征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：连续放量后缩量，再放量后缩量，最终三角形整理至缩量完毕，出现小中阳线启动，此为“奔狼”或完美图案，标准答案为“绝逼干”。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9bce444-ea8e-446c-a544-c4ef2a6096f2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量价关系判断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：量价关系良好、图形无瑕疵时，应果断介入；若图形显示“三门重炮”等诱多形态，则坚决不干。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b2dc8e8-ebad-445c-8c21-a53384956e36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三波上涨禁忌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：提出“三波不做”原则，即第三波上涨往往伴随高风险，除非有第五浪预期且走势强劲（如45度角拉升），否则避免参与。若MACD未翻绿或在黄线企稳，可视为例外。</w:t>
      </w:r>
      <w:bookmarkEnd w:id="100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6fc2cf5-0341-475d-b00a-7ae13e01c224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单针下30战法应用 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e1ae0c3-0f18-4d34-b0e8-7cde553107f8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适用场景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：适用于大盘调整后的资金分化期，主线与支线窄幅震荡时的盘中洗盘或短期补涨机会。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1501bc0-54ff-4143-a637-0395fda7f105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技术参数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：关注红线（大资金）与白线（短期小资金）的关系，当白线下穿30（或20/15等阈值）后企稳回升，且伴随缩量洗盘，为潜在买点。</w:t>
      </w:r>
      <w:bookmarkEnd w:id="10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be8bc8f-ec39-4156-bb29-a99fa2d0675b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典型案例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1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d51831e-f29f-48f2-9559-a367e46f111c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干的情况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：单针下30后，量能配合良好，红线与白线关系健康，图形漂亮，标准答案为“干”。</w:t>
      </w:r>
      <w:bookmarkEnd w:id="101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b01c4b3-7301-4f28-a0db-8fdfd13e720f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不干的情况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：出现跳空缺口伴随岛型反转风险，或图形过于刻意（如全红无绿）、三波上涨末端、难度过大看不懂时，标准答案为“不干”。</w:t>
      </w:r>
      <w:bookmarkEnd w:id="101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0773e79-cfa9-4e02-91d6-ebc3e97ec505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考试结果评估与策略建议 </w:t>
      </w:r>
      <w:bookmarkEnd w:id="101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6e24d1f-7f96-44cc-9d12-70f9d96ec57c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分数解读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1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29d8fa2-f1e9-439f-ae29-6b807ff158a9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60分以下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：建议减少操作或直接销户，因未掌握核心方法，强行交易易亏损。</w:t>
      </w:r>
      <w:bookmarkEnd w:id="101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64b8093-1c4c-465e-8a5b-f45a580bf0f3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60-70分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：入门水平，能灵活切换三种方法，但需进一步提升精准度。</w:t>
      </w:r>
      <w:bookmarkEnd w:id="101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5fa80aa-234a-4049-8629-a2a671380f5e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70分以上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：具备较好基础，但赚钱与否取决于“知行合一”及后续应对策略（如低开、高开、洗盘时的处理）。</w:t>
      </w:r>
      <w:bookmarkEnd w:id="102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ac9fc81-befd-4a89-8463-df52b3f93292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市场适应性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：不同市场波段需采用不同策略。当前市场特性下，若仅依赖B1而忽略专精图和单针下30，可能错失机会。强调空仓也是一种策略，尤其在看不懂行情时，不操作即可避免亏损。</w:t>
      </w:r>
      <w:bookmarkEnd w:id="102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f344284-3b36-4393-abd8-5f513be65fe4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：重申“看不懂就不干”，避免因噪音干扰而盲目交易，强调等待确定性机会的重要性。</w:t>
      </w:r>
      <w:bookmarkEnd w:id="102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85f39b5c68fc4b4ea759ab39e055b851" w:id="1023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23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2026-05-01T09:26:39Z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k+lFiPtvuk9yuiiubuPEzQtLFoUtX/gXwuUgBkdZzc=","ProduceID":"ai_zongjie:22d2dab258ac28117875795a2488156c","ReservedCode2":"Dk+lFiPtvuk9yuiiubuPEzQtLFoUtX/gXwuUgBkdZzc=","PropagateID":"ai_zongjie:22d2dab258ac28117875795a2488156c","ContentProducer":"001191440101MA9Y9T4H7A00000"}</vt:lpwstr>
  </property>
</Properties>
</file>