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d6d3d35bdb4445ebbbcd7da153f38eb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技术分析中B1买点的实战应用，通过多案例解析了“双峰填谷”、成交量形态（阶梯量、堆量、蜈蚣放量）及MACD指标的协同判断。重点阐述了黄线位置的交易价值、盈亏比计算及止损设置策略，区分了可操作的反弹与高风险的出货形态，强调心态管理与知行合一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965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80c409-0fda-47ff-a0a9-8fe12da52944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B1买点基础与心态建设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b513ab-c6a1-4910-84df-fd69f4a7e7a4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早期玩法回顾与当前精进策略：在单帧下30的一端寻找入场点，以承受第一波波动。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e5804b0-595f-4aaf-a971-b22b6929b42e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钩值（KDJ指标J值）的应用：熟练后通过感受跌势减缓（钩值20以下）来应对市场，而非单纯预测。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149d97c-a619-4475-a251-0352d58b8df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交易心态：不因上次失利影响下次开仓，解决“不敢做”的心理障碍，强调执行与应对。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d29fddb-2c30-4ac2-ba2f-bd34ef9a1196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案例一：底部结构与双峰填谷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0d9faa4-6d78-4470-8e70-cd1ac50ea081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ABC结构识别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：倒看ABC结构，A为降速改变趋势，B为大量长上影，C需后续确认。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ed9443-c5b8-4c95-ba69-9b1ae33d2243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双峰填谷形态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：股价破黄线后横盘磨蹭，形成双峰填谷结构，需等待填充完成。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46982b1-d58d-4f54-9bb8-b0248ec441bb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入场与止损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9ba3495-85f0-4ee6-a564-25eea854b127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7号或8号钩值低位时可尝试入场，需设好止损。</w:t>
      </w:r>
      <w:bookmarkEnd w:id="101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d88663d-1998-42c7-88a5-f873ecc46896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若MACD仍在多头区间且未跌破黄线，可赌一根；若直接大阴线跌破则认赔。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6bbdd4a-eb52-407b-b9c3-aa4ebeee21fc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B1买点需要“养”，并非买入即涨，需容忍短期震荡。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b3a36c-67da-4f71-bdf5-897304d25728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案例二：主力吸筹与阶梯量辨析 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e2c2534-e07d-4746-a539-e6b1c0d74a0a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价随量升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：4月8日附近出现主力吸筹迹象，放量价升，MACD红柱放大视为建仓异动。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e7e42d1-ae60-4ee2-933d-38e79856bb9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阶梯量出货辨析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561f838-625d-44a0-ab3c-8af332e49dba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标准阶梯量出货：次高点阳量与高点接近，高位横盘后向下砸盘。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1713e2d-2dc2-46d7-b605-aa9536d40837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本案情况：高位横盘但未大幅下跌，筹码未完全分散，非标准出货，而是介于缩量与阶梯量之间。</w:t>
      </w:r>
      <w:bookmarkEnd w:id="101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490f512-4be6-4bcd-a339-1f865a912785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交易价值：白线抬高同步，离黄线近，具备交易价值。</w:t>
      </w:r>
      <w:bookmarkEnd w:id="101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291ed2-06c4-4a96-b89d-ad17c0b79d0a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特殊形态解析：A杀与蜈蚣放量 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3c5419-7eb7-4be4-92a4-0625d42f0c82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A杀定义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：长阴线直接跌停或大幅下跌，如从17.44跌至9.33，属于标准A杀。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1e2200-aa62-427d-8802-7e3b15d7282b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蜈蚣放量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d2b78c0-4ce5-4af4-8e3e-24989e261fdc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特征：堆量但股价不涨，伴随长上影、长下影，量能紊乱，如同呼吸紊乱。</w:t>
      </w:r>
      <w:bookmarkEnd w:id="102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3181ef1-e4db-4262-a0e9-0e4ec87d2ced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对比：正常底部应呈现“放量-缩量-放量-缩量”的健康呼吸节奏，而非持续杂乱放量。</w:t>
      </w:r>
      <w:bookmarkEnd w:id="102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6c06d8f-243e-4be9-9aaf-ccb59f16de1e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策略：此类图形看不懂则不做，避免陷入无序波动。</w:t>
      </w:r>
      <w:bookmarkEnd w:id="102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5b1b50-e704-4bbe-8cf9-9b4e2ec73267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案例三：黄线位置的反弹博弈 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fba9ed-d5f4-4efd-a6f0-9804f49136b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S1缺失后的反弹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：前期拉升后连续下跌至黄线，虽无标准S1卖点，但黄线位置具备交易价值。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5c49b4-4125-494a-a458-fefd5856717e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2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fb450ee-3fad-4cf8-a664-e02533cedc16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博取一根长阳线反弹，快进快出，不恋战。</w:t>
      </w:r>
      <w:bookmarkEnd w:id="102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e459c50-5e06-4523-9aec-ba54b6749c31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若出现N型结构或多重底（如三波结构），可在黄线附近企稳时介入。</w:t>
      </w:r>
      <w:bookmarkEnd w:id="103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1e3c8d0-88de-45e0-8518-e05369764d19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止损依据：利用黄线作为防守位，盈亏比较高。</w:t>
      </w:r>
      <w:bookmarkEnd w:id="103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3a4bf7-4785-4f57-8533-93f877253a42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案例四：右侧放量与底部大风车 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2d3713-7fbc-448c-8535-f1ffe694c64c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右侧相对低位放量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：区别于左侧极致缩量的底部，右侧底部常伴随放量，形成多空平衡点。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eaf4793-ecec-4aea-9654-d4c2e921b44e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底部大风车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：标准形态需在特定位置出现螺旋桨K线，本案为类底部大风车，确认为阶段性底部。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0827d65-07a5-40bf-bfa4-660e4e81f212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认知偏差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：强调对个股属性（如锂矿龙头而非地产）的认知重要性，避免因误解板块而错失机会。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6718fd-675e-4b65-a77b-6284d5f8ea67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成本优势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：B1入场者拥有成本优势，能更好承受后续波动；高位追涨者因无安全垫易被洗出。</w:t>
      </w:r>
      <w:bookmarkEnd w:id="103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c5f8eb8-4194-4ac0-beaf-53b7b2605817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案例五：盈亏比与止损空间计算 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c6d8f6-ed9f-47a3-9ede-d57fd8c97191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不可操作区域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：股价位于白线与黄线中间（“碗里”），上下止损空间均过大（约10%-15%），缺乏盈亏比优势。</w:t>
      </w:r>
      <w:bookmarkEnd w:id="103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0acc93-5663-480d-b432-8b8fa63594b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3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bcda846-48ba-40db-9c2f-98404693de7c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要么在白线上方企稳，要么回落至黄线附近再介入，避免在半山腰入场。</w:t>
      </w:r>
      <w:bookmarkEnd w:id="104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2c561a6-c527-4ebd-ac71-76d48b40299f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若强行介入，需接受大幅止损风险，否则极易因波动被清洗出局。</w:t>
      </w:r>
      <w:bookmarkEnd w:id="104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1726f4-883b-48f4-b099-151f7f526fc3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概率思维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：此类高位回调后再创新高的概率较低，应从概率角度放弃低盈亏比交易。</w:t>
      </w:r>
      <w:bookmarkEnd w:id="104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a8c683e-ec4a-4e19-b002-0ecb9527de75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负面案例与丑图识别 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b98c71-c413-483f-ba57-1989bbcd8504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高控盘缩量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：主力高度控盘，缩量拉升，无明显放量信号，缺乏爆发力，需极长耐心，不建议参与。</w:t>
      </w:r>
      <w:bookmarkEnd w:id="104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a0f08db-d802-4584-88a6-2a4f81b71955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无序出货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：筹码交换混乱，无趋势性，如“奔狼图腾”般丑陋图形，直接规避。</w:t>
      </w:r>
      <w:bookmarkEnd w:id="104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894241-cd91-4c4f-becc-02ba64128971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机构抱团股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：虽有阶梯量出货嫌疑，但因机构抱团支撑，走势独立。若无底仓，不建议重仓博弈，仅可小仓位尝试。</w:t>
      </w:r>
      <w:bookmarkEnd w:id="104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010417b-520f-40fb-843d-fda68bd93708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总结与核心逻辑 </w:t>
      </w:r>
      <w:bookmarkEnd w:id="104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b39f91e-081d-468c-ba3d-a61ac0ef7c40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B1买点核心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：结合黄线支撑、成交量形态（拒绝蜈蚣放量、识别健康呼吸）、MACD状态综合判断。</w:t>
      </w:r>
      <w:bookmarkEnd w:id="104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992bd0-7f12-451d-a403-b9dbf2e139e4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：严格设置止损，根据盈亏比决定去留，不因贪婪或恐惧偏离计划。</w:t>
      </w:r>
      <w:bookmarkEnd w:id="104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c38eb9-d0b8-4a3c-9dfc-288083d6d0c8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知行合一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：看懂则做，看不懂则弃，保持交易系统的纯粹性与一致性。</w:t>
      </w:r>
      <w:bookmarkEnd w:id="105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f0e7913c62042c4910a7c2bda9b7eb3" w:id="105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2026-05-02T11:37:26Z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L5wOUYkNQwwS9HCJq4/wqoX04/YzPjF3pbunkReYC8=","ProduceID":"ai_zongjie:fc61eb27af595e58b6e9f4c8221452fe","ReservedCode2":"SL5wOUYkNQwwS9HCJq4/wqoX04/YzPjF3pbunkReYC8=","PropagateID":"ai_zongjie:fc61eb27af595e58b6e9f4c8221452fe","ContentProducer":"001191440101MA9Y9T4H7A00000"}</vt:lpwstr>
  </property>
</Properties>
</file>