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89d22b41c6c4f6cafa44306a8d46bd7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技术分析中的多种K线形态与交易策略，重点解析了“航发图”的建仓特征及“砖形图”在超短交易中的应用原则。通过对比量价关系、筹码分布及趋势结构，详细讲解了N型上涨、旗形整理等有效买点，以及高位横盘、量价背离等需规避的陷阱，强调结合白线趋势与成交量验证以提高胜率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524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6b3007d-a340-454d-878d-308fb5c7f972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作业案例复盘与避坑指南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dbc1f2-eae0-4b52-9df7-6573524cf1c8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无效图形识别</w:t>
      </w:r>
      <w:bookmarkEnd w:id="100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5e720af-de1e-4186-b8bd-19eb206bbd9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“蜈蚣图”：无业绩、无庄家，纯属散户博弈，建议回避。</w:t>
      </w:r>
      <w:bookmarkEnd w:id="100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9b4684d-9d29-4ba5-8b2c-5d88613e99f9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小市值陷阱：建议不碰50亿以下盘子的股票，如24亿或39亿市值且换手率极高（17%-39%）的个股，此类图形过于刻意，多为游资或大户操控。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b10a24-7102-4449-bff9-2255c16340f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弱势波动分析</w:t>
      </w:r>
      <w:bookmarkEnd w:id="100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f24250c-7ffc-4106-ad20-d1d328d32e76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某些图形虽看似有B1信号，但红长绿短面积不显著，或出现“买完即跌”的难受走势。</w:t>
      </w:r>
      <w:bookmarkEnd w:id="100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4b97829-67df-4114-ab38-b6d51285ee2d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单根异动不如W底结构强劲，若在无明确趋势下追高，易遭遇回调杀跌。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439947-2969-4ecc-9c20-d5969fac1d13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核心形态解析：航发图 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c9792c-520a-447f-bcce-ba2c3a0c9998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形态定义</w:t>
      </w:r>
      <w:bookmarkEnd w:id="101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b525f26-57c7-4487-ac63-53228db80af2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第一波建仓缩量，随后出现三根阶梯量拉升，伴随长上影线回调。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60c2cbd-21c5-4e60-9328-4a47d8ddac60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第二波建仓再次洗盘，企稳后给出B1买点。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8b0f986-b5df-4334-a592-de82f49c1d8a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技术细节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d153df9-da79-4876-885b-fe045705f68c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建仓阶段的长上影线属于正常现象，因建仓非攻击型阳线，主力买入后松手导致回落。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871a950-fe80-41bb-954b-3ecf62703d09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区别于攻击型阳线（B2），建仓波允许带有上影线（苗子），而拉升攻击时则不宜带长上影。</w:t>
      </w:r>
      <w:bookmarkEnd w:id="101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c9336c2-360f-4730-a278-ffba19acebad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关键特征为莫名其妙的放量启动，是近期较好的首选形态。</w:t>
      </w:r>
      <w:bookmarkEnd w:id="101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31e1df6-4555-4e33-aa62-910d9c2cca1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砖形图交易体系与原则 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7a77acf-e271-4a1f-9e3d-bd406f43f37b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基本定位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2ffa58a-dc59-4592-9fc1-a2becd70f00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解决K线骗线问题，适用于超短线交易，比白线（波段持有）周期更短。</w:t>
      </w:r>
      <w:bookmarkEnd w:id="102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0479451-aa29-42ac-88c7-44a2fa4272a2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提供日线级别多空转换后的第一个入场依据（B1或B2）。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c8ce56-bbd8-4197-abaf-9a022cb416e4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三大原则与应用逻辑</w:t>
      </w:r>
      <w:bookmarkEnd w:id="102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8ea97d2-c81e-4a0a-a409-105908b9b3f9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趋势优先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：必须将砖形图置于整体趋势中观察，优选N型上涨结构，避免在杂乱震荡市中操作。</w:t>
      </w:r>
      <w:bookmarkEnd w:id="102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98b72f9-ccf8-4db3-8cda-606daf7e1eff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上车点位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：利用红砖确认空翻多节奏，在洗盘阴线后再次上涨时介入，而非追高第三波爆发点。</w:t>
      </w:r>
      <w:bookmarkEnd w:id="102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122738c-fa6e-4fe7-b944-7fa1d10a2bd6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止盈策略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：超短交易需及时落袋为安；若脱离成本区且不破白线，可转为波段持有（参考“牵牛绳”战法）。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aebd7d-f632-4efe-b5ca-3c066d358909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成功率提升</w:t>
      </w:r>
      <w:bookmarkEnd w:id="102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db1a510-0ac8-46ae-a074-fade13a5c228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在N型结构向上、K线排列整齐的图形中，砖形图信号成功率更高。</w:t>
      </w:r>
      <w:bookmarkEnd w:id="102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c1a970c-fd48-46f1-abf5-2c70f47eee1a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避免在上下剧烈波动、无明显规律的阶段使用。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568eff7-1890-4d25-b3ab-e94512597925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典型案例深度解析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9a528c6-4d87-4517-a0b3-5b2c06025239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阳包阴与机构建仓 </w:t>
      </w:r>
      <w:bookmarkEnd w:id="103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25cd32d-6034-4c6f-8b82-ef1405f3f8fa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底部相对低位出现阳包阴形态，伴随放量跳空及连续大阳线，表明机构真实买入。</w:t>
      </w:r>
      <w:bookmarkEnd w:id="103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de8a2dc-7119-4bc1-8cb4-4a75c09b6f67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MACD金叉配合大红砖，构成极佳入场点，短期可获得确定性收益。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4715806-164b-414c-94d1-bf320be6d0f1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量价背离与出货陷阱 </w:t>
      </w:r>
      <w:bookmarkEnd w:id="103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19e3768-7c9f-4432-903c-801b54c96ab8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高位横盘风险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：股价大幅拉升后长期横盘，成交量萎缩且杂乱，多为大户利用余热出货换筹，非机构建仓。</w:t>
      </w:r>
      <w:bookmarkEnd w:id="103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44c0a52-715f-4111-8efe-eaf592dd67a1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下跌中继识别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：暴力拉升一倍后回调至起点，若反弹高点连续降低且无量能配合，80%为骗线，应坚决回避。</w:t>
      </w:r>
      <w:bookmarkEnd w:id="103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5c01214-d718-41f2-a4af-ff7a01530d7b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“大哥”信号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：真正有效的反转需出现巨量阳线（“大哥来了”），一举解套前期套牢盘，否则缩量反弹不可信。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6965c6-14e2-4cda-bb28-2f40ffdef08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有效整理形态 </w:t>
      </w:r>
      <w:bookmarkEnd w:id="103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16bcf9d-8dd8-4de3-9985-b597bd586043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旗形/三角形整理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：突破前高时放量，整理过程中持续缩量，表明抛压减轻、筹码锁定良好。</w:t>
      </w:r>
      <w:bookmarkEnd w:id="103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0458e41-c041-4848-b55b-53f2376db408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末端突破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：整理末端出现倍量柱或大红砖，且量能匹配前期高点，为高胜率买点。</w:t>
      </w:r>
      <w:bookmarkEnd w:id="103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271a07c-ad49-448b-9f52-1f4168cc7ab9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量价关系验证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：上涨需放量（量随价升），横盘整理需缩量；若上涨缩量则为量价背离，预示动能不足。</w:t>
      </w:r>
      <w:bookmarkEnd w:id="104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3e6449-e497-4b38-a314-ad74cf4bc211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总结与市场进化观点 </w:t>
      </w:r>
      <w:bookmarkEnd w:id="104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7665f8-597f-4928-a2de-7a0d0e074cd7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图形逼真度警惕</w:t>
      </w:r>
      <w:bookmarkEnd w:id="104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a9b9ff5-6f59-4cac-a599-7c950979b21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过于完美的三角形突破可能因市场参与者众多（如2000万股民掌握该技术）而失效，主力会利用共识进行反向收割。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0ebbc5b-ec76-4108-a0eb-7b94e91be8ea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动态适应</w:t>
      </w:r>
      <w:bookmarkEnd w:id="104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9e28596-362b-4e0c-9715-a071825e95b5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随着市场进化，传统技术形态的有效性面临挑战，需结合更细致的量能分析与主力行为逻辑进行判断，避免机械套用公式。</w:t>
      </w:r>
      <w:bookmarkEnd w:id="10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4123acabfdf444beaef96c6fda38364b" w:id="104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6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2026-04-30T00:48:28Z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uBPiYfhKzhny6zefsfSdk84p2IIammglzAmaFaAzcE=","ProduceID":"ai_zongjie:43c422abd82b8a573daa8d908abaf336","ReservedCode2":"LuBPiYfhKzhny6zefsfSdk84p2IIammglzAmaFaAzcE=","PropagateID":"ai_zongjie:43c422abd82b8a573daa8d908abaf336","ContentProducer":"001191440101MA9Y9T4H7A00000"}</vt:lpwstr>
  </property>
</Properties>
</file>