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8531ca28dee44fcacca6da848e07fb1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N型结构的本质及超级买点（超级B1）的识别与操作策略，通过具体案例解析了主力资金如何通过震荡洗盘抬高跟风盘成本，以及如何在关键位置介入并设置止损止盈策略。同时强调了交易纪律、盈亏比控制及跟随市场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432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33687faa6dd439b8ed203ef1636ce55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d747ef843f44ff7a757d0c99630934e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N型结构的本质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a4f3e3e-b366-4b59-85d2-8d82a12760c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核心解释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主力资金在拉升股票过程中，通过阶段性回调洗盘，迫使低位跟风盘在更高价位重新买入，从而抬高整体市场持仓成本。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c2e3b6-c721-4f04-9eb8-97c32291400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操作逻辑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2f719c-08ef-4651-884b-db1a134696b3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主力不会从10元直接拉升至50元，否则低位筹码会在高位大量抛售。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af32d1-1d50-4a16-8288-87719334f0f5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必须通过多次震荡，将低位成本逐步抬高至高位，便于后期出货。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0ff845-a1cf-4ade-a84a-1692afff0a0a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每次回调并非趋势结束，而是清洗浮筹、提高市场平均成本的过程。</w:t>
      </w:r>
      <w:bookmarkEnd w:id="100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8cec14c5648420c95087f81178b91c2" w:id="1010"/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24f515d135f4bbbbe19a44cd8c90773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洗盘与成本抬升的实例分析 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25a5d1-7728-466a-874f-7818356df00a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案例描述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某票从20元涨至30元，再回调至20元，洗掉中间成本在36至59元之间的跟风盘。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79db74-870f-4c8f-9477-0c71dea564c0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洗盘目的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756666e-b604-4493-941d-607b9c53bbac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清洗中间成本区间的筹码，避免后期拉升时出现大量抛压。</w:t>
      </w:r>
      <w:bookmarkEnd w:id="101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0ee797-9151-41f2-83cf-ffca652056db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通过震荡使市场平均持仓成本集中于当前支撑位附近。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a252938-3717-4734-9f7d-46d586ec425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489b74-11ee-4d16-bd79-1525cf558637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洗盘是主力控盘的必要手段。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1474ff-cb16-4caf-9c1e-bab9a6625731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成本越高的投资者越难被洗走，形成稳定持仓结构。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9af2e4c6e744aa3bcfee46929e257f9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31991cb70db402ba7acde216ae64efe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超级买点（超级B1）的特征 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8f4d427-e2dc-4b85-b68d-204833d8a7e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图形特征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88d432-e47e-41dd-b712-8227cc992232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极其难看的技术形态，如连续缩量回调、破位阴线、小十字星反转等。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b8fe5e-9356-4175-a9fa-713f14adc167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通常出现在长期震荡或下跌后的低位区域。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5c1baa7-f848-4f5c-893e-bc164b3d631c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主力意图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f29051-5ce9-42a7-b8c5-1274a2898a0e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利用极端走势清洗所有跟风盘，使市场情绪崩溃。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fff203-a229-4698-bd9e-f0a96be1707d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吸筹完成后，往往出现直线拉升，形成主升浪。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9a650bc8eb84521868b94fa889acec8" w:id="1027"/>
      <w:bookmarkEnd w:id="102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e206f82488746e6b87b787dd7f45598" w:id="102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超级B1的介入时机与操作策略 </w:t>
      </w:r>
      <w:bookmarkEnd w:id="102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aa71f0-5499-4ea2-8d30-47140b9fcbc7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买点确认</w:t>
      </w:r>
      <w:bookmarkEnd w:id="102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8bf479-052b-4602-a9ef-fdd163de23b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出现小十字星或小阳线反转，伴随缩量。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f984ca-7cd8-4f0f-97fb-d25119c1a2d2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不破前低，形成N型结构的底部支撑。</w:t>
      </w:r>
      <w:bookmarkEnd w:id="103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ecf5bee-e4c4-456d-8843-afe67eb8d0bd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6f4294-8135-4ffd-a5da-3d33d79ceddb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设置在关键支撑位下方，如6.34元设止损。</w:t>
      </w:r>
      <w:bookmarkEnd w:id="103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98fbb65-15b1-44a0-beb1-6c9c75517c9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操作方式</w:t>
      </w:r>
      <w:bookmarkEnd w:id="103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c045d9-1bd6-4d22-931c-0dbbd7dd1316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初次介入后观察后续走势，若放量突破前高可加仓。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d2ea240-49f9-4a83-8f7d-1ba8bc7ea4d1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若反弹失败，严格执行止损纪律。</w:t>
      </w:r>
      <w:bookmarkEnd w:id="103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6f64b99ccf743cbb3b8c430f3f4da68" w:id="1037"/>
      <w:bookmarkEnd w:id="103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88d1c80aad244a4bb56876db57c61d8" w:id="103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主升浪启动的典型走势 </w:t>
      </w:r>
      <w:bookmarkEnd w:id="103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af7794-feae-4dd2-917b-e72c3d06ec5c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某票在洗盘阶段出现放量阴线，随后主力快速拉升，直接封板。</w:t>
      </w:r>
      <w:bookmarkEnd w:id="103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f8fab6-aa7a-4a7f-beb4-4c39c5df7936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主力手法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f1b09e-f6ff-4392-8143-0155909bc789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放巨量洗盘，吸走所有跟风筹码。</w:t>
      </w:r>
      <w:bookmarkEnd w:id="104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dd15a8-7881-45a2-bff9-91ae484c71d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次日早盘直接拉升，不给散户反应机会。</w:t>
      </w:r>
      <w:bookmarkEnd w:id="104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0d9545-ad38-4bd9-bc2d-847b344449a1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bookmarkEnd w:id="104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784ed8c-af28-446e-b684-70c9f3b2c73a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主升浪启动前往往伴随极端洗盘。</w:t>
      </w:r>
      <w:bookmarkEnd w:id="104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5f007f-6e3a-4e59-8333-df5c15cfd378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跟随信号、设置止损、严格执行交易纪律是成功关键。</w:t>
      </w:r>
      <w:bookmarkEnd w:id="10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ab55446e3ef4672bd8dab9bba970794" w:id="1046"/>
      <w:bookmarkEnd w:id="104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57b3be3f5824c74b5b27fb1cf4a9132" w:id="104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盈亏比与持仓管理 </w:t>
      </w:r>
      <w:bookmarkEnd w:id="104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4e18bb-64c3-4bb3-898c-0622a55ebd8d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盈亏比计算</w:t>
      </w:r>
      <w:bookmarkEnd w:id="104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cf2e90-fda7-4dbf-b24a-357358f92ce1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买入点至前高为盈利空间。</w:t>
      </w:r>
      <w:bookmarkEnd w:id="104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04a2eb-8436-4ac4-ba24-a9cf2a4a7342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止损点至买入点为亏损空间。</w:t>
      </w:r>
      <w:bookmarkEnd w:id="105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e6fb93-1046-4d71-9a95-a536dac87d39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</w:t>
      </w:r>
      <w:bookmarkEnd w:id="105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89729f9-6aec-4ac6-8476-dd2d9ba69dee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填坑完成后分批止盈，保留部分仓位博弈后续涨幅。</w:t>
      </w:r>
      <w:bookmarkEnd w:id="105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912855-992b-4ad6-882b-041e836ce5b0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避免情绪化操作，保持理性判断。</w:t>
      </w:r>
      <w:bookmarkEnd w:id="105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16ed527ebc44a5f9c307acd3faea9b1" w:id="1054"/>
      <w:bookmarkEnd w:id="10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c47760ee59a4e42a66dc035deb9bb27" w:id="10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交易纪律与心态管理 </w:t>
      </w:r>
      <w:bookmarkEnd w:id="105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7b27277-81ad-4fca-b9b7-8f1d7ad56f22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bookmarkEnd w:id="105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b44e9d-c620-4abf-9834-8ce3562d002c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不预测市场，只跟随市场。</w:t>
      </w:r>
      <w:bookmarkEnd w:id="105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79d1a5-fecc-4f44-aa51-27d1f78244a5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不对个股产生感情，只关注盈亏结果。</w:t>
      </w:r>
      <w:bookmarkEnd w:id="105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5f39e2-ee4d-46fe-9657-43b66852aec0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实战建议</w:t>
      </w:r>
      <w:bookmarkEnd w:id="105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05f969-ecc8-4b6b-9a72-3b2f15ecec44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无论盈利还是亏损，严格按照计划执行。</w:t>
      </w:r>
      <w:bookmarkEnd w:id="106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a9680c-47f2-47ca-ba60-895acfff248d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赚的是市场的钱，不是某一只票的钱。</w:t>
      </w:r>
      <w:bookmarkEnd w:id="106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f96a89-cd4c-4379-8cf9-bf2b5cd5c071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失败后不纠结，迅速转向新机会。</w:t>
      </w:r>
      <w:bookmarkEnd w:id="106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d8e17b347b8405b86229d21fd32a824" w:id="1063"/>
      <w:bookmarkEnd w:id="106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a03db2b76f8464bbd2362a0c0f2646d" w:id="106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模拟交易与策略验证 </w:t>
      </w:r>
      <w:bookmarkEnd w:id="106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3581e2-980f-45bb-98b5-17e0dc8eb37f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教学计划</w:t>
      </w:r>
      <w:bookmarkEnd w:id="106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d60999-d4a8-405f-9b1a-d02e4c7f962e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下周三进行模拟交易复盘，演示不选股策略。</w:t>
      </w:r>
      <w:bookmarkEnd w:id="1066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1df32d-61d8-4097-a2a7-47d43d73fedf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使用B1或B2策略，展示完整交易流程。</w:t>
      </w:r>
      <w:bookmarkEnd w:id="106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2995a4-eaf5-4683-8d71-cbdad0b7c9f4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目标</w:t>
      </w:r>
      <w:bookmarkEnd w:id="106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95badb-69bb-44f9-b814-895f83771880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帮助学员理解交易系统，而非依赖个股精选。</w:t>
      </w:r>
      <w:bookmarkEnd w:id="106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691f15a-94ef-4e5e-ac08-10511b7c3b76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通过实际操作提升交易执行力与纪律性。</w:t>
      </w:r>
      <w:bookmarkEnd w:id="107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92f6d39753b42b5a1c9ebd5b8a41661" w:id="1071"/>
      <w:bookmarkEnd w:id="107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fd778a9103943e89c71aa9ff824e67c" w:id="107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市场热点与板块轮动 </w:t>
      </w:r>
      <w:bookmarkEnd w:id="1072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4337c8-1aef-4239-9a38-dee5c5fdfea1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银行板块分析</w:t>
      </w:r>
      <w:bookmarkEnd w:id="1073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e77f49c-8088-4594-bd15-eb642c07d5bd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国家队增持释放积极信号，银行估值修复。</w:t>
      </w:r>
      <w:bookmarkEnd w:id="107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c566ef-445d-454c-8eb7-4895f5bc6464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未来若有行情，金融板块尤其是银行将率先启动。</w:t>
      </w:r>
      <w:bookmarkEnd w:id="107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4a1444-7cb4-4a4d-ab8a-cec2e7c2d9ad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保险板块验证</w:t>
      </w:r>
      <w:bookmarkEnd w:id="107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95dd44-b524-4d04-94f6-e82c45738dd6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一个月前提示保险板块机会，当前已创新高。</w:t>
      </w:r>
      <w:bookmarkEnd w:id="107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e2cfbf-60a9-48fa-9b56-79cec30b02a2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市场趋势判断需结合政策与资金流向。</w:t>
      </w:r>
      <w:bookmarkEnd w:id="107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07decad68d44956bd09d97c375f1893" w:id="1079"/>
      <w:bookmarkEnd w:id="107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2b05334a0ea40588620ff79d4f839b5" w:id="108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80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784673-6f40-45bf-9229-d113f9ab5885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核心观点回顾</w:t>
      </w:r>
      <w:bookmarkEnd w:id="1081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57e136-73e7-46ad-a161-632971ef284e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N型结构是主力控盘的核心逻辑。</w:t>
      </w:r>
      <w:bookmarkEnd w:id="1082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decce3-1ad7-4d23-baaa-86a485622a37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超级B1是捕捉主升浪的关键买点。</w:t>
      </w:r>
      <w:bookmarkEnd w:id="1083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3fd92b-58cd-453d-acee-f057bf84979e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交易纪律与盈亏比控制决定长期盈利。</w:t>
      </w:r>
      <w:bookmarkEnd w:id="108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b4e6934-581e-4c19-8a87-0e54557092d1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后续计划</w:t>
      </w:r>
      <w:bookmarkEnd w:id="1085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65601d-12c2-42a3-9dd1-380d2401ce21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明日大直播继续深入讲解逻辑变化。</w:t>
      </w:r>
      <w:bookmarkEnd w:id="1086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de0a33-6bd0-49be-98f5-93ddfe005151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保持关注，参与模拟交易提升实战能力。</w:t>
      </w:r>
      <w:bookmarkEnd w:id="108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1883664240148a189ae788f39391a9f" w:id="108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8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2026-05-02T14:42:16Z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QB/+dWUFykckBSHJ48JiqSn/RxtYHdcZ2ujDVU5upGI=","ProduceID":"ai_zongjie:6b7b4abdba98c5072544b83396dcbee1","ReservedCode2":"QB/+dWUFykckBSHJ48JiqSn/RxtYHdcZ2ujDVU5upGI=","PropagateID":"ai_zongjie:6b7b4abdba98c5072544b83396dcbee1","ContentProducer":"001191440101MA9Y9T4H7A00000"}</vt:lpwstr>
  </property>
</Properties>
</file>