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430e9c1d30c495da9aa2a762c11b40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短线交易执行的核心策略，重点围绕“少妇战法”展开，详细讲解了B1与B2买点的识别、止损设置、仓位管理、交易纪律等内容，并通过大量历史案例演示了如何在实战中严格执行交易系统，强调纪律性与盈亏比的重要性，适用于股票、期货等短线交易场景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318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1cf3b80b2a74664bc9a913cf01d549e" w:id="1003"/>
      <w:bookmarkEnd w:id="1003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9608b03da26c476dbcda238160ca4fbc" w:id="1004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第一部分：交易执行与纪律性概述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b7fb37-caf7-4771-a7e9-b0f8049d54e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开场强调纪律与节奏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cef407-7424-496b-aecc-0c6679bbee85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纪律性重要性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交易不是运气或天赋，而是技术，需踏踏实实执行。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c054b3-c9d5-4b44-a080-97e2f3c2bd89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短线交易没有运气之说，核心是技术与纪律。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3e969e-f567-4ce4-a35f-e57a2cb244f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B1与B2买点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B1是波段低点买点，B2是确认B1有效后的加仓点，B2更具确定性。</w:t>
      </w:r>
      <w:bookmarkEnd w:id="10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ce4c14d735c4b4289a272fba5ff4394" w:id="1009"/>
      <w:bookmarkEnd w:id="1009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87e676ce44c3456a98a96b7b44f87e02" w:id="1010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第二部分：B1买点识别与操作策略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6adcb7-5c01-43bf-bd0d-4af8e1743de0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B1定义与特征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13dd08-a7de-4eed-a462-02f6571112cf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勾大幅值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原则上勾值小于20为勾大幅值区，个人系统设为12以下。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583dc4-2a87-4b9a-b927-bd0e0c7b4957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建仓波形态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建仓波表现为震荡上涨、缩量回调、再放量上涨的循环结构。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f661ca0-3d6b-42e9-8c8c-210f26206bef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健康波与乱波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健康波为震荡吸筹，乱波为连续下跌后的一根放量大阳，形成明显建仓信号。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533be3-001a-46f2-97ee-914302de543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B1操作要点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0a9ebb-2bec-4bad-a840-5a27ca25a97e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止损设在当天最低价或前低附近，如50.2块、26.7块等。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ae92a5-9a6b-4bae-a274-8c7e389fb20d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第二天按均价或黄线附近买入，如27.9块、49.1块。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1c16e3-5a81-46fc-bb4f-b7553f7a3704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持有与减仓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上涨后按比例减仓，如3%、5%、10%减半仓。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2702db-ddcb-4e48-b7bd-bbdc23db63b9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止盈逻辑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涨停或中长阳后立即减仓，防止回吐利润。</w:t>
      </w:r>
      <w:bookmarkEnd w:id="101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988a0e-ff94-4112-b5b3-a976f1d8a996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B1失败案例分析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b0f698-5533-481e-892d-bf7410f69e63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若未达预期，回到成本区即拍掉，如19.83块、9.54块。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9a132a-4a52-4d09-8574-4d92dbb9b984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不破止损继续持有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如28.26块成本位未破止损继续持有。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f226db7160841eba70c659c2a0f71d8" w:id="1023"/>
      <w:bookmarkEnd w:id="1023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1fae9b6be4164061bb7bf59e7994e2b2" w:id="1024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第三部分：B2买点识别与操作策略 </w:t>
      </w:r>
      <w:bookmarkEnd w:id="102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2a0584-0dbe-42d2-ab7e-f4a93edf13d2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B2定义与特征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3dd8ae-8534-4ee7-ba16-d4d9db1140f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确认B1有效性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B2是对B1的确认，通常为阳线包住前一日阴线。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b2e904-1777-47a8-9066-8bb2e9e6517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位置与结构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出现在阶段性底部，如平台整理末端、缩量回调后放量确认。</w:t>
      </w:r>
      <w:bookmarkEnd w:id="102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f1ad4f-a28a-4cc3-af79-c514c02fb49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B2操作要点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51dd21-05d7-477c-8ef9-0c45a68536c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买入时机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第二天高开后买入，如10块、28.26块。</w:t>
      </w:r>
      <w:bookmarkEnd w:id="102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a7cad8-ed9a-49be-bd7e-114f9a7ced1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止损设在当天最低价或黄线附近，如9.5块、47.8块。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a0a523-e6aa-4183-90ff-a3c4bc1e1e85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减仓逻辑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涨幅达3%、5%、10%时减仓，如5.38%、14.57%。</w:t>
      </w:r>
      <w:bookmarkEnd w:id="103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834cff-793b-4f7c-bba2-509016ec09b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B2成功与失败案例</w:t>
      </w:r>
      <w:bookmarkEnd w:id="103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8c70eb-7a90-4cb2-88a7-00e7960c76a1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如6月13日中科信息涨6.39%、6月20日绿联科技涨5.67%。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e97009-930e-4892-8af9-b79d25a5a4dd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如6月18日汇金股份跌4%、6月19日智明达浮亏1.5%。</w:t>
      </w:r>
      <w:bookmarkEnd w:id="103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e593882ba2b4130993509c3d8bf7d5a" w:id="1035"/>
      <w:bookmarkEnd w:id="1035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4fe0646fe8034311b59fe7957c9e6f69" w:id="1036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第四部分：交易纪律与盈亏比控制 </w:t>
      </w:r>
      <w:bookmarkEnd w:id="103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97d540-f661-4496-a8b2-c3ba243037ad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止损与止盈策略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b31a829-4c01-4d1f-a4ce-a155e5eacb82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三种止损方式</w:t>
      </w:r>
      <w:bookmarkEnd w:id="1038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买入后不涨即拍；</w:t>
      </w:r>
      <w:bookmarkEnd w:id="103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买入后涨回成本区即拍；</w:t>
      </w:r>
      <w:bookmarkEnd w:id="1040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打到止损价即拍。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1121cb-7cc7-4d66-b19e-83217c43ffd2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止盈核心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不贪不恋战，盈利后按比例减仓，如涨3%、5%、10%减仓。</w:t>
      </w:r>
      <w:bookmarkEnd w:id="104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632636-c9a4-4d98-ab73-657c698f3711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交易执行与心理控制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847c7a-17e8-4a76-9889-447f8b3de501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赚钱票不能做亏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浮盈后回调至成本区必须拍掉，如2.84块、9.54块。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907d1c-1e38-4331-93ff-c77a6570639c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纪律性执行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不因后续走势后悔，只按既定纪律操作。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09ef52-2517-4abb-b84b-a9ee806c265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盈亏比控制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下跌空间小，上涨空间大，如止损2%~3%，盈利5%~10%。</w:t>
      </w:r>
      <w:bookmarkEnd w:id="104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2a6ca4-ffb9-46e8-9570-c00b608cb51d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盲选与实战训练</w:t>
      </w:r>
      <w:bookmarkEnd w:id="104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270651-d0ae-4228-9463-70784096ccc1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盲选策略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按行业或随机选票，按系统执行，如6月11日~6月23日盲选9天收益率12%。</w:t>
      </w:r>
      <w:bookmarkEnd w:id="104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74942b-0d15-474a-ae10-4e85859e40d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训练模式使用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通过训练模式反复练习交易纪律，强化执行能力。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921912f995549afac3c6d74a7791f98" w:id="1050"/>
      <w:bookmarkEnd w:id="1050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24e088037a054d8293bfebe57111d577" w:id="1051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第五部分：实战案例复盘与总结 </w:t>
      </w:r>
      <w:bookmarkEnd w:id="105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3c292f-d1cc-427a-b271-e34a5edc40b3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6月11日案例：纽泰格</w:t>
      </w:r>
      <w:bookmarkEnd w:id="105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def696-f6c0-463e-938a-b9a7f3494788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19.83块，止损19.3块。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b51fa7-e49c-4711-aa41-0309c7f544c2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次日跌4%，止损拍掉。</w:t>
      </w:r>
      <w:bookmarkEnd w:id="105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e675af-bc35-4c70-9da8-aebbf35c7adc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6月12日案例：东安动力</w:t>
      </w:r>
      <w:bookmarkEnd w:id="105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01d774-ed35-4994-a856-49232fbd5b3f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12.11块，止损11.77块。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429205-ad2e-480b-8515-488a56a78931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涨6.76%，卖一半；后续回调未破止损，持有至盈利3%。</w:t>
      </w:r>
      <w:bookmarkEnd w:id="105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713196-b834-4b4b-9802-b963e8bbf873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6月13日案例：中科信息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9c5e57-df30-43a7-a197-0bd2bfc93cf0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32.57块，止损32.0块。</w:t>
      </w:r>
      <w:bookmarkEnd w:id="105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bc3df3-fe95-4140-ac84-87dce8268d3a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涨6.39%，卖一半；后续回调平盘卖出。</w:t>
      </w:r>
      <w:bookmarkEnd w:id="106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865575-68ec-4fde-8f89-bf14ba9bdd25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6月16日案例：皓宸医疗</w:t>
      </w:r>
      <w:bookmarkEnd w:id="106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e25cbf-d649-4f59-af4a-30643b4a0c6d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2.88块，止损2.78块。</w:t>
      </w:r>
      <w:bookmarkEnd w:id="106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21552b-4d0b-4b28-8cc8-6189527f5b42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涨5.38%，卖一半；后续回调止损卖出。</w:t>
      </w:r>
      <w:bookmarkEnd w:id="106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f630da-e4c5-4458-8bdf-ea477e72dda6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6月19日案例：智明达</w:t>
      </w:r>
      <w:bookmarkEnd w:id="106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a0596f-a1d0-49d2-b326-42c274b608c6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27.9块，止损26.7块。</w:t>
      </w:r>
      <w:bookmarkEnd w:id="106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8f09a9-4685-459d-95bd-7a4e3d182424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涨11.18%，卖一半；后续回调止损卖出。</w:t>
      </w:r>
      <w:bookmarkEnd w:id="106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c2d451-dae5-42b1-9f70-30bc5e29f2b2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6月23日案例：北交所票</w:t>
      </w:r>
      <w:bookmarkEnd w:id="106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4eb952-4585-47e7-97ad-21ea7c9eb007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28.26块，止损27.05块。</w:t>
      </w:r>
      <w:bookmarkEnd w:id="106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7ff906-ba47-4596-bdcb-661bcdb9c713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涨5.62%，卖一半；后续回调止损卖出。</w:t>
      </w:r>
      <w:bookmarkEnd w:id="106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8ae93ee4ffe4dd2b842c7d2c6b12702" w:id="1070"/>
      <w:bookmarkEnd w:id="1070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15bcfe6f9e7b4687afe963098c6cee52" w:id="1071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第六部分：交易哲学与长期策略 </w:t>
      </w:r>
      <w:bookmarkEnd w:id="107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64ff03-190b-4d74-8749-57b57267f675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交易哲学</w:t>
      </w:r>
      <w:bookmarkEnd w:id="107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32dc9c-a44a-4a10-844e-aefd820ac8e6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防守反击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交易如同足球，防守为主，等待反击机会。</w:t>
      </w:r>
      <w:bookmarkEnd w:id="107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21d99c-9e12-47f7-9c3a-e3bdc3d25d69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盈亏比优先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不追求涨停，追求稳定盈亏比，如止损3%~4%，盈利5%~10%。</w:t>
      </w:r>
      <w:bookmarkEnd w:id="107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3095ab-acdb-437d-9b24-c76b95cdbf6e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纪律为王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不因情绪操作，严格执行止损与止盈规则。</w:t>
      </w:r>
      <w:bookmarkEnd w:id="107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aed4238-d590-4b87-b397-20dbc5531e1a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长期策略</w:t>
      </w:r>
      <w:bookmarkEnd w:id="107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90d826-d267-4846-8373-9653a4c6c4e5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板块选择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优先选择热点板块，如创新药、AI、半导体等。</w:t>
      </w:r>
      <w:bookmarkEnd w:id="107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5939d9-5a5c-4baa-a39f-2ddc7b064737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不满仓操作，控制仓位以应对新机会。</w:t>
      </w:r>
      <w:bookmarkEnd w:id="107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333b4e-57f2-4cbf-93b9-f900f87e291f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持续学习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多复盘、多练习，强化交易系统执行能力。</w:t>
      </w:r>
      <w:bookmarkEnd w:id="107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ecd1e6-df94-4766-af11-5b9821cd4504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总结与鼓励</w:t>
      </w:r>
      <w:bookmarkEnd w:id="108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56f8e5-2815-4982-87fe-cfb7661f261f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短线交易本质是执行，非预测。</w:t>
      </w:r>
      <w:bookmarkEnd w:id="108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4f7b7b-60dd-4b24-9bb5-6962eff1e09a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建议与展望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未来将系统化讲解B2、SB1等进阶策略。</w:t>
      </w:r>
      <w:bookmarkEnd w:id="108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9f1914-f885-4655-affe-fa98db3e70f4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最后寄语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坚持学习，强化纪律，用小仓位练习，逐步提升。</w:t>
      </w:r>
      <w:bookmarkEnd w:id="108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260a9ce2e924bbf8412337df6519f3e" w:id="1084"/>
      <w:bookmarkEnd w:id="108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df37bf1251846f9a03736763a0dd2ed" w:id="108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全文一级大标题">
    <w:name w:val="全文一级大标题"/>
    <w:aliases w:val="全文一级大标题"/>
    <w:uiPriority w:val="1"/>
    <w:qFormat/>
    <w:pPr>
      <w:spacing w:after="620" w:lineRule="auto" w:line="240"/>
      <w:ind w:left="0" w:right="0"/>
      <w:jc w:val="center"/>
    </w:pPr>
    <w:rPr>
      <w:rFonts w:eastAsia="Source Han Sans CN" w:ascii="times New Roman"/>
      <w:sz w:val="48"/>
      <w:b w:val="1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2026-04-28T22:46:32Z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Ny9FUu76fahC36FOAisSH84OLr9GtayDANdxYZN/4w=","ProduceID":"ai_zongjie:3779e1deb9dbe86e36f11375c6219037","ReservedCode2":"dNy9FUu76fahC36FOAisSH84OLr9GtayDANdxYZN/4w=","PropagateID":"ai_zongjie:3779e1deb9dbe86e36f11375c6219037","ContentProducer":"001191440101MA9Y9T4H7A00000"}</vt:lpwstr>
  </property>
</Properties>
</file>