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0035cf1d7be144c3b2bf85a915a826d0" w:id="100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本视频讲述了股票交易中短线操作的止损策略，包括短线交易的三大原则、止损设置方法、SB1形态识别及交易纪律的重要性，并通过多个实际案例演示了如何应用这些规则进行买卖决策。</w:t>
      </w:r>
      <w:bookmarkEnd w:id="1001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002"/>
      <w:r>
        <w:drawing>
          <wp:inline distL="0" distR="0" distT="0" distB="0">
            <wp:extent cx="5270500" cy="74041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40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2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abfd9651c1164b6c9a8d8c893f45bb80" w:id="1003"/>
      <w:bookmarkEnd w:id="1003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279a6f9f8a634f3bb31be6d367de73b4" w:id="1004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一、市场时间分布与交易策略 </w:t>
      </w:r>
      <w:bookmarkEnd w:id="1004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b29915e2-7c33-4466-b343-e61ce4b4604a" w:id="100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核心概念解释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A股市场历史上呈现三种时间分布：</w:t>
      </w:r>
      <w:bookmarkEnd w:id="1005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908c71c-6c70-45b2-8089-84bb972f3556" w:id="100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66%的时间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：垃圾时间，波动率低或持续阴跌。</w:t>
      </w:r>
      <w:bookmarkEnd w:id="1006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5284517-ba8a-457f-8d26-6c12d2dc763d" w:id="100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24%的时间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：区间震荡，波动相对适中，适合稳健操作。</w:t>
      </w:r>
      <w:bookmarkEnd w:id="1007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6df7340-a1b2-424a-a0d7-cc671667fdf2" w:id="100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10%的时间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：高波动阶段，向上波动大，但也伴随高风险。</w:t>
      </w:r>
      <w:bookmarkEnd w:id="1008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f964ef5-0025-49a8-8960-ba6f9e10e661" w:id="100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交易策略建议 </w:t>
      </w:r>
      <w:bookmarkEnd w:id="1009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43966ae-e7a4-4f2d-bde3-85b57930db1c" w:id="101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66%的时间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：持有不动或寻找强势股做短线。</w:t>
      </w:r>
      <w:bookmarkEnd w:id="1010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c950cc0-22fe-4021-b580-23b83a27b9b1" w:id="101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24%的时间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：容错率较高，适合波段操作。</w:t>
      </w:r>
      <w:bookmarkEnd w:id="1011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7851e26-a131-4cf0-97f7-0367f55090c0" w:id="101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10%的时间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：风险最大，但也是赚大钱的机会所在。</w:t>
      </w:r>
      <w:bookmarkEnd w:id="1012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984b553-92f9-40fb-9091-62025783dfcb" w:id="101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关键提醒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大部分散户亏损发生在10%的高波动时间，因追涨杀跌、频繁操作、心态不稳。</w:t>
      </w:r>
      <w:bookmarkEnd w:id="1013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5e192b49095948ceb287ec61c053f830" w:id="1014"/>
      <w:bookmarkEnd w:id="1014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623812e4a7a045cc9d8e0f13efe02e83" w:id="1015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二、A股最佳操作月份分析 </w:t>
      </w:r>
      <w:bookmarkEnd w:id="1015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bfa37074-43c6-45b2-8e2a-3e00f33d3082" w:id="101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核心数据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A股历史上：</w:t>
      </w:r>
      <w:bookmarkEnd w:id="1016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116c200-97e5-48e9-9760-5c1d63d28082" w:id="101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2月、9月、10月、11月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是赚钱效率最高的月份。</w:t>
      </w:r>
      <w:bookmarkEnd w:id="1017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19efba7-20c7-4e67-8224-1e4f9cdae0b4" w:id="101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过去20年中，这四个月份上涨概率超过90%。</w:t>
      </w:r>
      <w:bookmarkEnd w:id="1018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9dfb15c-e809-48c4-af9f-46c90a265e29" w:id="101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背后逻辑 </w:t>
      </w:r>
      <w:bookmarkEnd w:id="1019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80d3514-2d30-4957-9fd4-fd5414a98ac6" w:id="102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2月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：春节前后流动性释放，春季行情启动。</w:t>
      </w:r>
      <w:bookmarkEnd w:id="1020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7f4c837-b270-4c74-826e-75a1fe165c6b" w:id="102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9-11月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：机构年终排名、KPI考核压力、流动性释放等因素共同作用。</w:t>
      </w:r>
      <w:bookmarkEnd w:id="1021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09f6b597-278d-4013-8129-792ce9193608" w:id="102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操作建议 </w:t>
      </w:r>
      <w:bookmarkEnd w:id="1022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e7671f9-8ffa-4176-a357-a8fac08f01ab" w:id="102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在这四个月份中可适当提高仓位。</w:t>
      </w:r>
      <w:bookmarkEnd w:id="1023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9bd01db-7053-4dd7-b737-62bf208de6d2" w:id="102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避免在5-6月等流动性紧张月份重仓操作。</w:t>
      </w:r>
      <w:bookmarkEnd w:id="1024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3bfe7c525fed4f09b63849b3564c62a5" w:id="1025"/>
      <w:bookmarkEnd w:id="1025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1278e71fa4a24cb1a78986ea3d6b850e" w:id="1026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三、短线交易三大止损原则 </w:t>
      </w:r>
      <w:bookmarkEnd w:id="1026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b72812f-eb3c-4c27-bf16-2ee1861a38ab" w:id="102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原则一：赚钱的票马上回到成本价拍掉 </w:t>
      </w:r>
      <w:bookmarkEnd w:id="1027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e95bde3-7d13-4553-a09a-0cbfea04e832" w:id="102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若买入后上涨，但随后回调至成本价附近，应果断止盈。</w:t>
      </w:r>
      <w:bookmarkEnd w:id="1028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2f9c844-743a-4ab8-8011-0495469de35b" w:id="102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避免由盈利转为亏损。</w:t>
      </w:r>
      <w:bookmarkEnd w:id="1029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8cff025-6792-4124-9716-12e96df0fc93" w:id="103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原则二：买入后该涨不涨，成本区附近甚至微亏就拍掉 </w:t>
      </w:r>
      <w:bookmarkEnd w:id="1030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632bb30-a884-41f9-b18e-72918b65954e" w:id="103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若买入后未快速上涨，而是反复震荡，应在3个交易日内考虑止损。</w:t>
      </w:r>
      <w:bookmarkEnd w:id="1031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bf57f76-2c37-4b71-8dcd-59fdfd6391a5" w:id="103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适用于短线交易者，避免墨迹耗时。</w:t>
      </w:r>
      <w:bookmarkEnd w:id="1032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d81e58c-ea2c-4455-97dd-d4834731d956" w:id="103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原则三：破掉止损价格拍掉 </w:t>
      </w:r>
      <w:bookmarkEnd w:id="1033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301430a-2b47-498e-aa25-5d950b47864e" w:id="103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止损应在收盘前确认，避免盘中虚假破位。</w:t>
      </w:r>
      <w:bookmarkEnd w:id="1034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5b4043b-3b66-4cb0-8b7e-816746cda762" w:id="103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关键支撑位一旦跌破，应立即止损。</w:t>
      </w:r>
      <w:bookmarkEnd w:id="1035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d7edd1e0b2204b8bad686a77e3807753" w:id="1036"/>
      <w:bookmarkEnd w:id="1036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c051565afa634b99891f8c30a051d123" w:id="1037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四、SB1形态识别与交易策略 </w:t>
      </w:r>
      <w:bookmarkEnd w:id="1037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986c0e2-6edf-458f-9b9d-f179833f991d" w:id="103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SB1定义 </w:t>
      </w:r>
      <w:bookmarkEnd w:id="1038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1c10edd-00c4-4666-b87e-9571579cd04b" w:id="103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一波拉升之后，缩量回调形成平台。</w:t>
      </w:r>
      <w:bookmarkEnd w:id="1039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9503d10-a56c-4134-aacf-89a22483ce8f" w:id="104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平台被放量跌破时，即为SB1形态。</w:t>
      </w:r>
      <w:bookmarkEnd w:id="1040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39259b5-fe4c-4f00-88ae-568e6b3f7681" w:id="104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操作方法 </w:t>
      </w:r>
      <w:bookmarkEnd w:id="1041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490661a-7969-4cd1-929c-325de73d8614" w:id="104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建仓波与拉升波结合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：主力快速拉升，随后缩量回调。</w:t>
      </w:r>
      <w:bookmarkEnd w:id="1042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046e991-9d70-400b-9e58-b08fa375fbe2" w:id="104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止损设置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：跌破平台最低点设为止损点，通常为3%以内。</w:t>
      </w:r>
      <w:bookmarkEnd w:id="1043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b258b7a-636c-42ca-b171-68d7df85478d" w:id="104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实战案例 </w:t>
      </w:r>
      <w:bookmarkEnd w:id="1044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7e96b85-bf91-42b1-8c19-00c650c53dff" w:id="104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光电股份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：拉升波回调后，SB1形态出现，放量跌破平台，形成卖点。</w:t>
      </w:r>
      <w:bookmarkEnd w:id="1045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dd0e5b3-313b-4328-93fb-54dd6bfdf067" w:id="104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乐普医疗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：回调缩量，SB1出现后反弹，形成买点。</w:t>
      </w:r>
      <w:bookmarkEnd w:id="1046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ecff31476e5d4dc0945aaa5d23d7aca8" w:id="1047"/>
      <w:bookmarkEnd w:id="1047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dd546df8a1f74f0191ddd94cb8abf508" w:id="1048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五、短线交易心态与纪律 </w:t>
      </w:r>
      <w:bookmarkEnd w:id="1048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98c33b50-54fa-4f3e-9f05-7a21e3a8daa2" w:id="104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卖飞是正常现象 </w:t>
      </w:r>
      <w:bookmarkEnd w:id="1049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5f9100c-fd19-433c-9511-7e2f893b3f25" w:id="105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卖飞是短线交易的一部分，不应懊悔。</w:t>
      </w:r>
      <w:bookmarkEnd w:id="1050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04e7d61-dcc9-45ba-84da-18c66d731138" w:id="105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交易纪律重于单笔盈亏。</w:t>
      </w:r>
      <w:bookmarkEnd w:id="1051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ef525fe-dd10-49de-a5cb-3ee549b50b58" w:id="105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止损是纪律核心 </w:t>
      </w:r>
      <w:bookmarkEnd w:id="1052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a6f43cc-4aa2-43a1-975f-f0b9709b7c7f" w:id="105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每次交易前应设定止损点。</w:t>
      </w:r>
      <w:bookmarkEnd w:id="1053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9fff729-9687-4c4e-8ac7-240f2dd020b3" w:id="105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止损后若上涨，也应坚持纪律，寻找下一个机会。</w:t>
      </w:r>
      <w:bookmarkEnd w:id="1054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0a9a7f1f-0402-4ce0-9025-367b28d15ea7" w:id="105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交易是艺术，不是科学 </w:t>
      </w:r>
      <w:bookmarkEnd w:id="1055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ec9afa8-6603-480f-ba2c-ad1422c70bdc" w:id="105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交易没有绝对正确的答案。</w:t>
      </w:r>
      <w:bookmarkEnd w:id="1056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f98f296-5309-4bc0-8a3c-dcc64f39e517" w:id="105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成功在于控制风险、遵守纪律、不断优化策略。</w:t>
      </w:r>
      <w:bookmarkEnd w:id="1057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ab43d19b5d024b328ad927e58b1989ba" w:id="1058"/>
      <w:bookmarkEnd w:id="1058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c47c96519e944823a811983416fb86c1" w:id="1059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六、实战案例解析 </w:t>
      </w:r>
      <w:bookmarkEnd w:id="1059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943a6fe-084b-416f-b8ef-a7cdd6364102" w:id="106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案例一：光电股份 </w:t>
      </w:r>
      <w:bookmarkEnd w:id="1060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e12da94-fb34-4311-b838-32f13854cfa4" w:id="106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买入后上涨，随后回调至成本区。</w:t>
      </w:r>
      <w:bookmarkEnd w:id="1061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af01f36-6b84-4905-bbac-498adf3386e4" w:id="106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触发“赚钱的票回到成本价”原则，果断止盈。</w:t>
      </w:r>
      <w:bookmarkEnd w:id="1062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6cf8a79-f323-40f4-80b1-f875e175e5bc" w:id="106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案例二：乐普医疗 </w:t>
      </w:r>
      <w:bookmarkEnd w:id="1063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88b7e0b-1830-4adc-a3ad-ea47a1243210" w:id="106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SB1形态出现后，设止损买入。</w:t>
      </w:r>
      <w:bookmarkEnd w:id="1064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98e914a-b10d-446c-8dcf-cae8e01e82d7" w:id="106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随后反弹，分批止盈。</w:t>
      </w:r>
      <w:bookmarkEnd w:id="1065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c3c02293-b99b-4ce9-92b7-38e4c532e273" w:id="106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案例三：某缩量回调票 </w:t>
      </w:r>
      <w:bookmarkEnd w:id="1066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815ae1b-5b6a-48fe-ac74-66be8c35e545" w:id="106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买入后反复震荡，未突破平台。</w:t>
      </w:r>
      <w:bookmarkEnd w:id="1067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f5467db-de24-4fee-8c2b-d965bd5e1304" w:id="106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三天未涨，触发“该涨不涨”原则，止损离场。</w:t>
      </w:r>
      <w:bookmarkEnd w:id="1068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fbd9288cdb434a62a57f57200d22acd0" w:id="1069"/>
      <w:bookmarkEnd w:id="1069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b0898295451749b3bcb64a8494376a40" w:id="1070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七、总结与建议 </w:t>
      </w:r>
      <w:bookmarkEnd w:id="1070"/>
    </w:p>
    <w:p>
      <w:pPr>
        <w:pStyle w:val="一级无序列表"/>
        <w:pageBreakBefore w:val="off"/>
        <w:numPr>
          <w:ilvl w:val="0"/>
          <w:numId w:val="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5baebdc1-22d8-4ce5-9764-9d5fcce565ee" w:id="107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短线交易核心 </w:t>
      </w:r>
      <w:bookmarkEnd w:id="1071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60fd598-bead-4790-952c-960967e58c58" w:id="107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交易纪律 &gt; 单笔收益。</w:t>
      </w:r>
      <w:bookmarkEnd w:id="1072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fc47e16-1ef1-417f-bd1f-4209f92218b4" w:id="107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止损 &gt; 止盈。</w:t>
      </w:r>
      <w:bookmarkEnd w:id="1073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c6271a8-69e6-4adb-be81-6d4a36aa5c9d" w:id="107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心态 &gt; 技术。</w:t>
      </w:r>
      <w:bookmarkEnd w:id="1074"/>
    </w:p>
    <w:p>
      <w:pPr>
        <w:pStyle w:val="一级无序列表"/>
        <w:pageBreakBefore w:val="off"/>
        <w:numPr>
          <w:ilvl w:val="0"/>
          <w:numId w:val="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022af47b-593b-4530-807d-7ffeac5a6dee" w:id="107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长期视角 </w:t>
      </w:r>
      <w:bookmarkEnd w:id="1075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110357d-382d-4f99-a8e5-5237f2a1d47f" w:id="107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长线交易依赖基本面与运气。</w:t>
      </w:r>
      <w:bookmarkEnd w:id="1076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28a2f5d-6333-45ce-aecb-e66849292ecd" w:id="107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短线交易依赖纪律与执行力。</w:t>
      </w:r>
      <w:bookmarkEnd w:id="1077"/>
    </w:p>
    <w:p>
      <w:pPr>
        <w:pStyle w:val="一级无序列表"/>
        <w:pageBreakBefore w:val="off"/>
        <w:numPr>
          <w:ilvl w:val="0"/>
          <w:numId w:val="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09e3987-e9db-4de9-9cab-8b5f44435148" w:id="107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最终建议 </w:t>
      </w:r>
      <w:bookmarkEnd w:id="1078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f4d35b5-2d0b-45dd-a70d-f2c13347c6f7" w:id="107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不要追求完美交易。</w:t>
      </w:r>
      <w:bookmarkEnd w:id="1079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d738d44-6e59-4cbb-a4a3-a82e85ce507f" w:id="108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每笔交易都应有明确的进出计划。</w:t>
      </w:r>
      <w:bookmarkEnd w:id="1080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721e2e7-6374-416b-b584-da7012f33711" w:id="108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坚持纪律，控制风险，长期胜率自然提升。</w:t>
      </w:r>
      <w:bookmarkEnd w:id="1081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90a1a97b6535434195da4cfb20659dc2" w:id="1082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（内容由AI生成）</w:t>
      </w:r>
      <w:bookmarkEnd w:id="1082"/>
    </w:p>
    <w:sectPr>
      <w:footerReference r:id="rId6"/>
      <w:headerReference r:id="rId7" w:type="default"/>
      <w:pgSz w:w="11900" w:h="16820"/>
      <w:pgMar w:left="1800" w:top="1440" w:right="1800" w:bottom="1440" w:header="840" w:footer="980"/>
      <w:cols w:num="1"/>
      <w:docGrid w:linePitch="312" w:type="lines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中文正文">
    <w:name w:val="中文正文"/>
    <w:aliases w:val="中文正文"/>
    <w:uiPriority w:val="1"/>
    <w:qFormat/>
    <w:pPr>
      <w:spacing w:after="100" w:lineRule="auto" w:line="240"/>
      <w:ind w:left="0" w:right="0" w:firstLine="560"/>
      <w:jc w:val="left"/>
    </w:pPr>
    <w:rPr>
      <w:rFonts w:eastAsia="Source Han Sans CN" w:ascii="times New Roman"/>
      <w:sz w:val="28"/>
    </w:rPr>
  </w:style>
  <w:style w:type="paragraph" w:styleId="正文一级标题">
    <w:name w:val="正文一级标题"/>
    <w:aliases w:val="正文一级标题"/>
    <w:uiPriority w:val="1"/>
    <w:qFormat/>
    <w:pPr>
      <w:spacing w:after="300" w:lineRule="auto" w:line="240"/>
      <w:ind w:left="0" w:right="0"/>
      <w:jc w:val="center"/>
    </w:pPr>
    <w:rPr>
      <w:rFonts w:eastAsia="Source Han Sans CN Medium" w:ascii="times New Roman"/>
      <w:sz w:val="40"/>
    </w:rPr>
  </w:style>
  <w:style w:type="paragraph" w:styleId="一级无序列表">
    <w:name w:val="一级无序列表"/>
    <w:aliases w:val="一级无序列表"/>
    <w:uiPriority w:val="1"/>
    <w:qFormat/>
    <w:pPr>
      <w:spacing w:lineRule="auto" w:line="288"/>
      <w:ind w:left="0" w:right="0"/>
      <w:jc w:val="left"/>
    </w:pPr>
    <w:rPr>
      <w:rFonts w:eastAsia="Source Han Sans CN" w:ascii="times New Roman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media/image1.jpeg" Type="http://schemas.openxmlformats.org/officeDocument/2006/relationships/image"/><Relationship Id="rId6" Target="footer1.xml" Type="http://schemas.openxmlformats.org/officeDocument/2006/relationships/footer"/><Relationship Id="rId7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2026-05-02T12:03:48Z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2Z+iu/J7WRQ9HiTmpd48lFXaoRqFBBRT06UDhOjLdw0=","ProduceID":"ai_zongjie:9428cced156b649943b853fe9297a661","ReservedCode2":"2Z+iu/J7WRQ9HiTmpd48lFXaoRqFBBRT06UDhOjLdw0=","PropagateID":"ai_zongjie:9428cced156b649943b853fe9297a661","ContentProducer":"001191440101MA9Y9T4H7A00000"}</vt:lpwstr>
  </property>
</Properties>
</file>