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03f124726814d819af29b498d9d44e4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本视频讲述了股票交易中止损策略、短线操作逻辑及心态管理，重点解析了B1/B2买点、N型结构、震荡区间判断及盈亏比控制，并通过多个案例演示了如何在实战中应用交易策略。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785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be4362a87b045379ba92214fb02448c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e746eda03994e87ab4dda44a62cbae5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止损策略与短线操作逻辑解析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1b010f-2b2e-4b4c-a1f3-0474bd19777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市场恐慌与抄底逻辑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市场恐慌时成交量放大，说明有资金抄底介入，破位下跌是为了吸引增量资金入场。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7fc9e3-7eaa-4e82-b3c6-a15ae677b713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震荡区间与建仓波段判断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震荡区间内放量波段可视为建仓波段，结合半年报发布时间确定止损位，通常设在128元左右。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05b3ce-c25d-4c1d-8738-82991a276391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N型结构与SB1结构区分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N型结构为回调后反弹再回调形态，SB1为小横盘破位结构，两者形态不同，需明确识别。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f79ac2-ca49-4173-a3ff-fd5a40b2891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止损逻辑与仓位控制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止损位设在当日最低价下方3-5个价位或1%-3%范围内，控制单次亏损幅度，不追求满仓操作。</w:t>
      </w:r>
      <w:bookmarkEnd w:id="100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581602b7c9e4d639c1f53e2b1944374" w:id="1009"/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895e6b8631948a896fbc604ec25e309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短线交易心态与盈亏比控制 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64b469-bdda-451c-b845-22d79edd663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止损即输一根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止损原则为“只输一根”，即当日买入后若下跌，止损设在当日最低价附近，避免过度亏损。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0e22b9-3049-4c22-a4a8-c61b664fbe5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踏空与认知不足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踏空本质是认知不足，无法识别趋势与结构，导致错失机会，需提升交易认知水平。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0577ea-cb1a-4462-96fe-a9c836842e0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盈亏比控制与止损执行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盈亏比应大于1:1，否则不参与交易；止损严格执行，避免亏损扩大。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3a1859393ff47e88f171e10e0c6608b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1ab8ec67dff47ee9a20318114df4cf1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B1/B2买点实战解析 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2cd1dd-713c-4862-9e0b-6a1a3e67ca9d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B1/B2买点特征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B1为阶段低点，B2为回调确认点，买入后若当日下跌，可越跌越买，降低成本。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e7f46c-04d0-4bad-8864-1ae2158c56d5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止损位设置与成本控制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止损位设在B1/B2对应最低价下方，买入当日不可操作，次日开盘前十分钟决定是否止损或持有。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29de46-dbbb-4fb7-9b5e-a5d5d8b98f5e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案例分析：B1买点操作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某票B1出现在连续放量上涨阶段，止损设在15.7元，当日持续买入，平均成本约16元，次日若不破止损位可继续持有。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318d67ff621438e9a0916b749f3bd00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7b2ab11588c494789d21e319989f631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选股逻辑与市场博弈 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876f7b-23b5-4ecd-a038-d4cc02bb0f35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快速选股方法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通过快速浏览300多只股票，筛选出符合N型结构、无跳空、量价配合良好的标的。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a8ff6cc-3d90-4a85-9c3c-0e6232dcfb8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板块轮动与行业选择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关注稳定币、RWA、军工、煤炭、水电等板块，结合行业轮动规律进行潜伏。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7e1f5f9-1a79-4ecd-8173-6a563bdb3adf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案例分析：冲刺波段识别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某票出现三个涨停后回调，形成短期冲刺波段，主力尚未完全出货，反弹至中间价位可部分止盈。</w:t>
      </w:r>
      <w:bookmarkEnd w:id="102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ebf058dfce842b696f03ef56dd06ffb" w:id="1024"/>
      <w:bookmarkEnd w:id="102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fcfbe5b4525438196841b5de48ebb23" w:id="102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交易策略总结与心态管理 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bda303-f566-4477-aa1c-2fbc78f58399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策略优势：一赢多平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十个票中1-2个赚大钱（10%以上），其余不亏或小赚，形成稳定收益曲线。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fe133d-49b3-4c97-a541-20f28f0717e2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反内卷行情判断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周五市场出现反内卷行情，塑料、水泥、煤炭等低位板块启动，后续仍有轮动机会。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3bf78d-577f-48fa-ba1a-7d1e5cb65fe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长期趋势与短期操作结合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长线持有具备基本面支撑的票（如创新药、科技），短线按右侧交易策略操作，控制风险。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7c492d6-4ee8-42ed-aa06-a9d09e26c2a0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反复学习与实践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建议反复观看直播内容，理解交易逻辑，结合实践形成个人交易体系。</w:t>
      </w:r>
      <w:bookmarkEnd w:id="102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cf44c902e864af8832a03efec33a287" w:id="103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2026-05-02T13:40:13Z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0S4ASvEPKu+orKa/qz0oAltnEV4XZCJ68tx2XOd6io=","ProduceID":"ai_zongjie:8e7846b95b0492ff3ae692c3f33d59c7","ReservedCode2":"W0S4ASvEPKu+orKa/qz0oAltnEV4XZCJ68tx2XOd6io=","PropagateID":"ai_zongjie:8e7846b95b0492ff3ae692c3f33d59c7","ContentProducer":"001191440101MA9Y9T4H7A00000"}</vt:lpwstr>
  </property>
</Properties>
</file>