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c46778381734830b3685f7667d3ace5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通过量化选股模型筛选潜力股的核心策略，重点分析了“异动”这一关键指标在选股中的重要性，并结合多个实际案例详细讲解了异动的定义、识别方法及其背后的主力行为逻辑。同时，视频强调选股策略的有效性远高于单纯依赖量化工具本身，策略的核心在于“突然放量、价随量升”的异动识别与“地量地价”的判断逻辑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854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8d9bbf8c392459aa9bbe2c7320952aa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a6d5b90c7034bccbac0c7b76511faa0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核心策略概述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bf1403f-106e-4df9-8f52-8eb61458b8e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选股模型的本质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2e8f5d5-d75a-478f-85c6-5043a5d8318a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量化只是工具，真正的核心在于策略本身。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ca66bc1-0bed-4338-8f7c-5f808e720d3d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选股模型应围绕“异动”展开，即“突然放量，价随量升”。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9aa65a-1a78-4e45-9e02-05bdc15a24d0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异动的定义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c895539-69a3-4c0c-986d-e00c44577d80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 = 突然放量 + 价随量升。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215a28-1df2-4f9b-8586-d11868690aec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该现象背后反映的是主力资金的动作，代表“有人来了”。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204105-a515-42ed-a8e8-31cc29a5c91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策略价值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9660e2e-68b0-4732-a3f6-96424f512f9e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异动是主力入场信号，是建仓波的起点。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eae1b2-9d4e-4b72-bbbe-dbc6c58cc6da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有效异动具有判断价值，后续大概率带来上涨。</w:t>
      </w:r>
      <w:bookmarkEnd w:id="10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971f7bbd6f544c9a2243581345ae8c0" w:id="1014"/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4c026bbcda94682a4cdb299ec9c7162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选股流程与案例解析 </w:t>
      </w:r>
      <w:bookmarkEnd w:id="101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3be728-a3eb-432b-92c0-1dd6214e57e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选股流程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aa265c-1b6a-46f2-8958-b66426e03b2e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初选：通达信/同花顺等软件可快速筛选出具备异动特征的股票。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0a2d41-7b92-46fd-9477-cdde2e64b1b7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抓数据：设定规则（如止损、防卖飞、打分机制等）。</w:t>
      </w:r>
      <w:bookmarkEnd w:id="101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f3eb25-5848-4489-a11f-67782bd79132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中选：最终确定可操作标的。</w:t>
      </w:r>
      <w:bookmarkEnd w:id="101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86d310-404b-4f2f-bd8d-e33a10a80e32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历史案例回顾</w:t>
      </w:r>
      <w:bookmarkEnd w:id="102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581b51-882d-4da6-a5e2-55b009110c6f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设研院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：7月21日异动后涨幅达69%。</w:t>
      </w:r>
      <w:bookmarkEnd w:id="102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215f55-5103-46b4-b746-b5f295e53ebf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幸福蓝海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：虽短期上涨，但随后大幅回调，亏损超1200万。</w:t>
      </w:r>
      <w:bookmarkEnd w:id="102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8ed1be-d550-48d5-9182-95aa863bb874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一通新材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：最高涨幅25%，北波19%，整体收益可观。</w:t>
      </w:r>
      <w:bookmarkEnd w:id="102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000c55-57dd-4079-ab53-3836317da37e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百甲科技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：两根阳线合计涨幅达37.76%。</w:t>
      </w:r>
      <w:bookmarkEnd w:id="102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5f3319-c2a3-4857-b432-22ffb7a88b25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操作建议</w:t>
      </w:r>
      <w:bookmarkEnd w:id="102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d8e709-09d6-4e4d-93e5-f823422ce22f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异动后介入，结合“B1”信号（首次缩量回踩）入场。</w:t>
      </w:r>
      <w:bookmarkEnd w:id="102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3c6035b-7bed-4fdf-936b-e718a1b8c26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不必追求满仓满吃，吃住一波即可。</w:t>
      </w:r>
      <w:bookmarkEnd w:id="102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bf18af5bf1e4c00bd88aba1b5f817ba" w:id="1028"/>
      <w:bookmarkEnd w:id="102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c39894b87744ae88026ebc749856d61" w:id="102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量化与主观交易的对比 </w:t>
      </w:r>
      <w:bookmarkEnd w:id="102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5132791-5804-4d23-80ef-13cd572c52e6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量化交易优势</w:t>
      </w:r>
      <w:bookmarkEnd w:id="103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891862-f852-42ba-92af-794d2430729b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情绪控制：避免因盘中波动影响操作。</w:t>
      </w:r>
      <w:bookmarkEnd w:id="103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32755e-b2d0-4b9b-98e2-861b4aa217db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纪律性：严格执行策略，如“B1”信号出现即买入。</w:t>
      </w:r>
      <w:bookmarkEnd w:id="103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9074d8e-8005-4e46-ad84-02ae7123144a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主观交易劣势</w:t>
      </w:r>
      <w:bookmarkEnd w:id="103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dd8b6e9-2045-4047-a50c-3ffc8b902042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易受情绪干扰，如看到长上影线或下跌趋势即卖出。</w:t>
      </w:r>
      <w:bookmarkEnd w:id="103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372a56-3778-4d17-af2f-d702c118dbde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缺乏统一规则，操作随意性强。</w:t>
      </w:r>
      <w:bookmarkEnd w:id="103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9740b9-d0c6-457a-80b9-1857d79d1d8e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案例对比</w:t>
      </w:r>
      <w:bookmarkEnd w:id="103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437ed8-2d31-40a5-9ab6-5ee9e68612fb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设研院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：若主观操作，可能在长上影线处卖出；量化则可持有至大幅盈利。</w:t>
      </w:r>
      <w:bookmarkEnd w:id="103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91f4aa-170e-41a9-b167-e69f9ea007af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幸福蓝海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：未设止损策略导致亏损扩大。</w:t>
      </w:r>
      <w:bookmarkEnd w:id="103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5b5b00e8d1249d3b372db2776f3d527" w:id="1039"/>
      <w:bookmarkEnd w:id="103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e1f052b49744ab698b73a796a27ac47" w:id="104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异动的识别与判断 </w:t>
      </w:r>
      <w:bookmarkEnd w:id="104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363750b-13fd-470e-9419-41ae7a0a389f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异动的本质</w:t>
      </w:r>
      <w:bookmarkEnd w:id="104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9616ed-f2cf-4d4d-af4b-8a2ce547aff2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主力资金入场信号，表现为“突然放量，价随量升”。</w:t>
      </w:r>
      <w:bookmarkEnd w:id="104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667ac1-cb7f-4198-8b97-ab336a2df03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通常出现在60日均线附近，代表主力建仓开始。</w:t>
      </w:r>
      <w:bookmarkEnd w:id="104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3762e3-1141-4de5-a46f-4cb89478ea02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异动后的操作策略</w:t>
      </w:r>
      <w:bookmarkEnd w:id="104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a4d28e-2930-4eaf-884e-2275e7032fe8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：异动后首次缩量回踩，是最佳介入点。</w:t>
      </w:r>
      <w:bookmarkEnd w:id="104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60a667-6a10-431f-b97e-6b76f0f249bf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：以B1当日最低价为基准，跌破即止损。</w:t>
      </w:r>
      <w:bookmarkEnd w:id="104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71f88e-490c-411d-bbdc-4468c807f004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：B1后次日确认信号，用于加仓或加码。</w:t>
      </w:r>
      <w:bookmarkEnd w:id="104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0b815c-c7cd-483a-9901-57548342d71e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异动的强弱判断</w:t>
      </w:r>
      <w:bookmarkEnd w:id="104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ec3932-d1a3-497d-a6c8-5c41a76d7f97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异动量能越强，后续上涨空间越大。</w:t>
      </w:r>
      <w:bookmarkEnd w:id="104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8e9bbfb-f0db-4603-8124-a4386b542513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若异动后未出现B1信号，可能进入震荡洗盘阶段。</w:t>
      </w:r>
      <w:bookmarkEnd w:id="105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89d5979b0854aa4bf15405a976322f5" w:id="1051"/>
      <w:bookmarkEnd w:id="105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e0d0b33bf304c90821435fe2e82090f" w:id="105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地量地价的判断逻辑 </w:t>
      </w:r>
      <w:bookmarkEnd w:id="105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b4af029-3639-4740-9783-a3f4b51dc524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地量地价的定义</w:t>
      </w:r>
      <w:bookmarkEnd w:id="1053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bd722e-9f87-45f1-beb4-373d9c7e9ddd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在异动之后出现的阶段最低成交量，通常对应阶段最低价。</w:t>
      </w:r>
      <w:bookmarkEnd w:id="105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3ddb3f-9acd-4eca-84d6-e90e4aaa9183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地量地价并非所有缩量都有效，必须出现在异动之后。</w:t>
      </w:r>
      <w:bookmarkEnd w:id="105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f668a7-6fb2-4c9f-bd9b-ccbf6e76f442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判断要点</w:t>
      </w:r>
      <w:bookmarkEnd w:id="105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8a4fcb-ccf0-4c73-b7b2-e90521b0a150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趋势背景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：必须处于上涨趋势中。</w:t>
      </w:r>
      <w:bookmarkEnd w:id="105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bf70e4-e772-42ef-8d8b-521e6f56fb5d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量价关系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：价格创出新高，成交量却缩至异动后最低。</w:t>
      </w:r>
      <w:bookmarkEnd w:id="105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d70fadf-ce77-415e-88d6-df0a22824742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技术指标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：MACD等指标出现底背离，增强判断依据。</w:t>
      </w:r>
      <w:bookmarkEnd w:id="105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e40c1f7-1aa4-4b95-bad4-36cdfdf1522c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案例分析</w:t>
      </w:r>
      <w:bookmarkEnd w:id="106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eeb244-0014-4204-b40d-ea2c40f08934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宁波韵升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：异动后出现地量地价，随后连续涨停。</w:t>
      </w:r>
      <w:bookmarkEnd w:id="106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e1ddeb-300c-4bad-8b3c-74e447ac75ad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野马光电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：异动后缩量洗盘，B1信号出现后大幅反弹。</w:t>
      </w:r>
      <w:bookmarkEnd w:id="106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e825183662f46b4935f01f89eb47595" w:id="1063"/>
      <w:bookmarkEnd w:id="106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79e3000f92545c89bf153250c48c31e" w:id="106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主力行为与筹码逻辑 </w:t>
      </w:r>
      <w:bookmarkEnd w:id="106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856137-5a3b-4b6d-b692-7d650416e1ee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主力建仓行为</w:t>
      </w:r>
      <w:bookmarkEnd w:id="106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6f562cc-9270-4193-9bee-3edb2b6205c6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主力通常在60日均线附近建仓，表现为异动。</w:t>
      </w:r>
      <w:bookmarkEnd w:id="106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e2c6f3-2ae1-43bf-b192-7fa37d393a86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建仓完成后进入洗盘阶段，表现为缩量横盘或小幅回调。</w:t>
      </w:r>
      <w:bookmarkEnd w:id="106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16353b7-52c8-4324-8869-ea71aff9cc56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筹码集中度判断</w:t>
      </w:r>
      <w:bookmarkEnd w:id="106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6998bd-b755-4cec-85d8-d1ddbe111243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洗盘时间越久，筹码集中度越高。</w:t>
      </w:r>
      <w:bookmarkEnd w:id="106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1ef57b-1085-4306-b082-412031f186d3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洗盘结束后，主力拉升阻力较小，上涨动能更强。</w:t>
      </w:r>
      <w:bookmarkEnd w:id="107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a97ab82-719d-4971-bb3f-0494e34e5adb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主力拉升节奏</w:t>
      </w:r>
      <w:bookmarkEnd w:id="107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3e49f7-1154-4b7a-8769-866db7732469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建仓波 → 洗盘波 → 拉升波 → 冲刺波。</w:t>
      </w:r>
      <w:bookmarkEnd w:id="107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3a7a84a-deb6-4afa-835b-94685613c2e4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每个阶段量价关系不同，需结合技术图形判断。</w:t>
      </w:r>
      <w:bookmarkEnd w:id="107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855196fce55481c838673dac7920322" w:id="1074"/>
      <w:bookmarkEnd w:id="107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7f2e3beb4d14e4e89692f087b1d75c2" w:id="107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板块轮动与龙头切换 </w:t>
      </w:r>
      <w:bookmarkEnd w:id="107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5395ea2-e8c8-4c72-9b5e-26ce90cf1790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板块轮动规律</w:t>
      </w:r>
      <w:bookmarkEnd w:id="107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38ac90-1a57-46c3-994a-8d043c036bd3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板块内龙头并非一成不变，需关注资金切换信号。</w:t>
      </w:r>
      <w:bookmarkEnd w:id="107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2b5175-8d9a-4130-bbc3-b847f263d2cf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板块整体回调时，龙头抗跌，杂毛股跌幅较大。</w:t>
      </w:r>
      <w:bookmarkEnd w:id="107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aaf3008-73f8-48f8-943d-6c22ed3c6ceb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龙头切换信号</w:t>
      </w:r>
      <w:bookmarkEnd w:id="107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3ec768-34cd-43c2-a7e0-e3c1d47c8e59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龙头回调后，其他标的若能横盘抗跌，可能是新龙头信号。</w:t>
      </w:r>
      <w:bookmarkEnd w:id="108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755a3d-3c05-41b6-8197-90a9be19f121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新龙头通常具备更强的异动特征和地量地价支撑。</w:t>
      </w:r>
      <w:bookmarkEnd w:id="108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1dab72-23a3-4066-97e6-1b40f3b5d4b8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操作策略</w:t>
      </w:r>
      <w:bookmarkEnd w:id="108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a07f52-7c18-429a-bf67-1ebfc1148544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跟随资金切换节奏，不盲目追涨。</w:t>
      </w:r>
      <w:bookmarkEnd w:id="108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a57bfe0-ddff-43a6-aa30-2670036fe244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优先选择异动明显、地量地价支撑强的标的。</w:t>
      </w:r>
      <w:bookmarkEnd w:id="108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f243155b83e4408962d6e99a44700f9" w:id="1085"/>
      <w:bookmarkEnd w:id="108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f329a7ead834247b4f87f47ea295fd4" w:id="108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风险控制与操作纪律 </w:t>
      </w:r>
      <w:bookmarkEnd w:id="1086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2d42f8-97ee-46fd-800c-4f6dbd28ceb2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止损机制</w:t>
      </w:r>
      <w:bookmarkEnd w:id="1087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3c25a7-ec4c-4432-9cdf-84db86c66320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B1信号当日最低价为止损位，跌破即止损。</w:t>
      </w:r>
      <w:bookmarkEnd w:id="1088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8220b3-e185-4785-9119-a1ebfc3410a8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防止亏损扩大，避免情绪化操作。</w:t>
      </w:r>
      <w:bookmarkEnd w:id="108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052b3c8-75d9-4b30-a861-0964ba71167d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操作纪律</w:t>
      </w:r>
      <w:bookmarkEnd w:id="109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e14d69-b99b-436e-8efe-ef4d16800a07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不盲目追涨，只在异动后B1信号出现时介入。</w:t>
      </w:r>
      <w:bookmarkEnd w:id="109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91cb656-6b4c-4706-a2be-3cfb2a4b64ae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不频繁换股，持有至趋势明确结束。</w:t>
      </w:r>
      <w:bookmarkEnd w:id="109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c9d3093-3d8a-4db9-be58-73436c238b92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心态管理</w:t>
      </w:r>
      <w:bookmarkEnd w:id="109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f98cda6-a9b1-43bb-b277-f44fe70eac02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不对个股产生感情，只关注策略信号。</w:t>
      </w:r>
      <w:bookmarkEnd w:id="1094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d69484-5ad5-467e-abbf-4622745ee0a6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不因短期波动影响判断，坚持策略执行。</w:t>
      </w:r>
      <w:bookmarkEnd w:id="109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a296aed742a49e5a0df7f9af2b481f0" w:id="1096"/>
      <w:bookmarkEnd w:id="109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35ce413429a4bd4a291d76aa4b51c4b" w:id="109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总结与策略升华 </w:t>
      </w:r>
      <w:bookmarkEnd w:id="109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ea4587d-3880-4c28-a66a-7d10edb3bbff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核心策略总结</w:t>
      </w:r>
      <w:bookmarkEnd w:id="109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048ab4-d4c5-4a89-862b-2a080837ae20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 = 突然放量 + 价随量升，是主力入场信号。</w:t>
      </w:r>
      <w:bookmarkEnd w:id="109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6513439-4fa3-4b7f-94d6-94d970462659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地量地价 = 异动后最低量，大概率对应阶段最低价。</w:t>
      </w:r>
      <w:bookmarkEnd w:id="110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a9680bb-6c55-4f73-a6cf-cbdc25696a02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B1信号 = 异动后首次缩量回踩，是最佳介入点。</w:t>
      </w:r>
      <w:bookmarkEnd w:id="1101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7eb14e-14b2-4822-af0d-b2e3852fd8b3" w:id="11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策略价值</w:t>
      </w:r>
      <w:bookmarkEnd w:id="1102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18a23b-e112-4592-8bbe-0a348ae3cfe3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策略远比工具重要，量化只是执行手段。</w:t>
      </w:r>
      <w:bookmarkEnd w:id="1103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f02334-90c4-44ad-8040-e1951a4fe643" w:id="11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成功的关键在于识别异动、判断地量地价、执行纪律。</w:t>
      </w:r>
      <w:bookmarkEnd w:id="1104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8d0f11-25c1-4082-a6a2-570337488995" w:id="11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未来展望</w:t>
      </w:r>
      <w:bookmarkEnd w:id="110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767da6f-1b74-410a-8f07-eed88f915669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本策略适用于A股市场，期货市场不适用。</w:t>
      </w:r>
      <w:bookmarkEnd w:id="110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af5ed5-3a48-44ba-97c0-24240960a063" w:id="11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后续将讲解更多策略类型，如跳空异动、一字异动等。</w:t>
      </w:r>
      <w:bookmarkEnd w:id="110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59a1474f01b499b95ebc9c4e18e31d4" w:id="110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08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2026-05-02T15:07:09Z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JG2pUf0wH7NjStxrLJKNoLdn+jvoY4MH8kflzLEPAM=","ProduceID":"ai_zongjie:e8d7f9af499b3116066768ec69b7b869","ReservedCode2":"FJG2pUf0wH7NjStxrLJKNoLdn+jvoY4MH8kflzLEPAM=","PropagateID":"ai_zongjie:e8d7f9af499b3116066768ec69b7b869","ContentProducer":"001191440101MA9Y9T4H7A00000"}</vt:lpwstr>
  </property>
</Properties>
</file>