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4f29fca2fdf40eaafd8224094ae8a61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如何通过技术分析判断买卖点（如B1、B2等），结合成交量变化、异动形态、堆量、缩量洗盘等指标，筛选强势股并控制风险，同时通过大量案例解析了不同形态的K线组合及其背后主力行为逻辑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133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6f532593ca2425fbdbd7c54b1e316d7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c6f0f3c8988464db3cdffcbeb729c1a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核心战法介绍与实战案例解析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37c7b5-6d36-4a79-a571-e50d53b9a8c9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核心观点概述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fcbcef2-bcf1-4d3e-82e0-faa1bd79d4c0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掌握技术分析方法，通过异动形态、成交量变化、趋势线等判断买点（如B1、B2），提高胜率。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728aed-4dba-48f5-8803-da4eda64226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重点强调“确定性”而非“预测”，在不确定中寻找高概率机会。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b7d081-7da2-4cea-927a-e5741235aeae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案例分析为主，不推荐具体个股，仅用于逻辑教学。</w:t>
      </w:r>
      <w:bookmarkEnd w:id="100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9ec20dd2e9b4bd6a90f13d02ca870d8" w:id="1009"/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a0f939121a0436babbee632f00b6d4f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异动形态与B1买点判断 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bd3858-5baa-4853-a093-2c55738876c4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宁波运生选股逻辑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c094e9-576c-415f-816c-aefab09383df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异动形态明显，60日线穿上来，形成标准“娜娜图”。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aa5c22-bc1b-47ad-9519-3024372c484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庄家介入明显，缩量调整至地量附近，形成买点B1。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30e1ac-47f6-49ad-a2fa-2dd88d825ef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地量与大幅值不一定严格对应，但阶段地量可作为参考。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b36bfc-dc87-4956-9280-bcbb8be361e4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小薇案例解析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0aa0e9-01f7-43a6-8c7c-b8ea2ddcc30d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连续两天买入，B1点明确。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3b3370-3fde-42c8-ba80-87590900d541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虽未完全缩量至地量，但大幅值位置出现异动，具备确定性。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dacf18-65cf-4135-ad98-0ed971d84ef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设好止损，盈亏比高。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a0e7329ae934e90ae5dc2adbaad70a8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022220d79cc45feb0b053e4767a2da6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异动形态的多样性 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acbdfc-c8d8-44d6-b4bc-ca7b2fecb36e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堆量异动案例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4308dfb-8cd7-42c3-9406-efc8cbbcab32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某票在14个交易日内持续堆量，形成建仓波。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0327a3-12d0-42d5-846a-6e06acb66896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缩量洗盘后再次异动，吸筹动作明显。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a19336-5594-4c6e-924e-24802c182043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与“娜娜图”不同，堆量形态更适用于长周期观察。</w:t>
      </w:r>
      <w:bookmarkEnd w:id="102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d8d9be9-2cf9-4e66-bbf4-f0b28a17733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单根异动的局限性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941976-eabc-4d28-a684-94b59e94aef1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单根异动（如莱茵生物、海王）多为游资操作，持续性差。</w:t>
      </w:r>
      <w:bookmarkEnd w:id="102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5aa90e3-1d7d-41ba-b0d7-6a0afd70842a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建议选择有组织、有计划的连续异动形态（如“詹姆斯型”）。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8d75a80c03c43cb91986b5d7b34ef46" w:id="1028"/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47910b278c04ec8906a3c6068b5d26d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B1买点的强弱判断 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494675b-7e40-4da1-9c85-8fbde5f3ae1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“詹姆斯型”异动特征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eddfda6-de0b-4d4e-86ec-44dd3d04b9d1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强壮异动，堆量明显，假阴真阳反包，放量突破。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8b336c-0bbb-4d4a-822a-9a748c0fccff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主力控盘度提升，后续带动板块联动（如宁波系）。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a00168-811a-4216-b019-91aba6a18a2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高度可期，适合重仓介入。</w:t>
      </w:r>
      <w:bookmarkEnd w:id="103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1d4efb-e664-43a4-b51b-9391d49a80a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“徐杰型”异动特征</w:t>
      </w:r>
      <w:bookmarkEnd w:id="103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bae3ef-1ae4-4937-956e-86bfe4429409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单根异动，缩量反弹，形态单薄。</w:t>
      </w:r>
      <w:bookmarkEnd w:id="103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e29985-07a9-4a50-b46e-7648fa22348d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后续持续性差，仅适合轻仓参与。</w:t>
      </w:r>
      <w:bookmarkEnd w:id="103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bc23aef-b816-4092-b267-18129c68e042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不具备“詹姆斯型”的强壮逻辑。</w:t>
      </w:r>
      <w:bookmarkEnd w:id="103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5f2b668766f45a5a3308dd368dbe44f" w:id="1038"/>
      <w:bookmarkEnd w:id="10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d792abe1a64416596347a98b5a9fc4d" w:id="10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B2买点的判断与实战误区 </w:t>
      </w:r>
      <w:bookmarkEnd w:id="103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cc643e-3380-4e6a-ac92-87881549d256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B2买点的误区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984db1-e111-4264-b2b9-d3fcaa89f742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不是所有B1之后的中阳线都构成B2。</w:t>
      </w:r>
      <w:bookmarkEnd w:id="104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f8207a-bd73-472f-b7f4-baef31ca39f5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需要结合趋势、成交量、结构确认。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23aa3e-e198-4943-b644-d1035e398a43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如某票B1之后一波流上涨，中间无买点，错过即放弃。</w:t>
      </w:r>
      <w:bookmarkEnd w:id="104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c99c5c-96fe-47a0-9067-2b4291d0aa8d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B2买点的正确形态</w:t>
      </w:r>
      <w:bookmarkEnd w:id="104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336d77-1342-4ce3-ba71-11d58124fafd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如某票在B1之后缩量回调，再次放量突破前高，形成B2。</w:t>
      </w:r>
      <w:bookmarkEnd w:id="104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4998b8-6cf0-42b1-9261-560a3decc7b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成交量放大，趋势明确，具备可操作性。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972328e763a444a8bb86681e17f3ff0" w:id="1047"/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715a9b0d00049f8a8c5ec76be510ed8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反人性操作与情绪控制 </w:t>
      </w:r>
      <w:bookmarkEnd w:id="104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a07be2a-2687-4d3d-a34c-8c4bc2e30007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幸福案例分析</w:t>
      </w:r>
      <w:bookmarkEnd w:id="104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301bc1-c3b9-4aa3-a548-9e74dca43306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初期异动不明显，形态单薄。</w:t>
      </w:r>
      <w:bookmarkEnd w:id="105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11cd8a-3d01-43d8-aef2-162f9d97a91b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后续堆量明显，加速建仓，形成B2。</w:t>
      </w:r>
      <w:bookmarkEnd w:id="105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0e41ad-33ee-4db0-bbaf-4bfee4154cad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虽基本面不强，但技术形态走强，具备操作价值。</w:t>
      </w:r>
      <w:bookmarkEnd w:id="105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77bc92c-39a6-49f9-9a5e-664697ca086b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反人性操作要点</w:t>
      </w:r>
      <w:bookmarkEnd w:id="105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9dfd5c-64a9-4a9a-b6e7-25e998b91f44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不以主观判断介入，以技术信号为准。</w:t>
      </w:r>
      <w:bookmarkEnd w:id="105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294553-fa05-4ac8-9d35-701420c0e728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忍耐初期回调，等待趋势确认。</w:t>
      </w:r>
      <w:bookmarkEnd w:id="105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1957d3-319b-4058-b435-b9046cf97ce9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控制情绪，避免因短期波动频繁操作。</w:t>
      </w:r>
      <w:bookmarkEnd w:id="105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270c4fad9c14acba7c310b2f7e2f434" w:id="1057"/>
      <w:bookmarkEnd w:id="105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1d49dae075b45f5abc5c70bce739f9c" w:id="105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量化打分与选票策略 </w:t>
      </w:r>
      <w:bookmarkEnd w:id="105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f96440-8889-4886-84b3-e0fdbff2a8af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选票打分建议</w:t>
      </w:r>
      <w:bookmarkEnd w:id="105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14d06e8-5b0a-45de-a07b-e4db982ab1ec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使用通达信、同花顺等工具，结合ChatGPT或DeepSick进行量化打分。</w:t>
      </w:r>
      <w:bookmarkEnd w:id="106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a58cc3-cbc5-4057-951a-6795b6eea403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接入东方财富、万得等数据源，提升准确性。</w:t>
      </w:r>
      <w:bookmarkEnd w:id="106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fb373d-262a-4643-a9e8-9ca16ba3d638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重点评分维度：异动强度、成交量变化、趋势稳定性。</w:t>
      </w:r>
      <w:bookmarkEnd w:id="106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804c7b-9b96-4e1d-a849-8c74524f8974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不同市场阶段选票策略</w:t>
      </w:r>
      <w:bookmarkEnd w:id="106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685dfb-5adf-41a1-a97a-331a669bc7a6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当前市场适合“少妇战法”：轻仓、精选、耐心。</w:t>
      </w:r>
      <w:bookmarkEnd w:id="1064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c1b1214-08f0-4738-b630-019fb85f6927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若大盘回调，关注医药、小金属、化工等防御型板块。</w:t>
      </w:r>
      <w:bookmarkEnd w:id="106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0d59df-1126-4dc3-a969-2eee31ae419f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核心逻辑：涨价预期强、业绩确定性强。</w:t>
      </w:r>
      <w:bookmarkEnd w:id="106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7dd1bb95d304e91b46a1cde6883f8c3" w:id="1067"/>
      <w:bookmarkEnd w:id="106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9cc03eee02b4d228ecff2b318944aab" w:id="106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风险控制与止损策略 </w:t>
      </w:r>
      <w:bookmarkEnd w:id="106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1c91dc-7e84-4bfe-8045-631f31e4ee83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止损设置原则</w:t>
      </w:r>
      <w:bookmarkEnd w:id="106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66cabd-6a34-45f7-8911-d6274d892143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所有买点需设止损，避免单次亏损过大。</w:t>
      </w:r>
      <w:bookmarkEnd w:id="107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0ea685-1e70-4bde-9dac-9a8a6e8ea08f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B1买点止损设在异动起点下方。</w:t>
      </w:r>
      <w:bookmarkEnd w:id="107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8d7891-4789-48a9-9ebe-8ab586eae921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B2买点止损设在回调低点下方。</w:t>
      </w:r>
      <w:bookmarkEnd w:id="107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b801952-0e25-411e-bb9c-3ae093d9d725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仓位管理策略</w:t>
      </w:r>
      <w:bookmarkEnd w:id="107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429373-4cf6-4f99-9e3b-4abc9c51b884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市场钩子（符合条件的股票数量）减少时，逐步减仓。</w:t>
      </w:r>
      <w:bookmarkEnd w:id="107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0143ff-3f2d-4f77-9caa-9777835cd1d0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钩子数量回升时，逐步加仓。</w:t>
      </w:r>
      <w:bookmarkEnd w:id="1075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89c003-512f-406b-a901-ac50fe5bda03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如钩子数量从2000+降至300，仓位从满仓逐步降至半仓。</w:t>
      </w:r>
      <w:bookmarkEnd w:id="107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db5a6634fff4cb7bf72b49810201c87" w:id="1077"/>
      <w:bookmarkEnd w:id="107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582022f2d01498ea013b8c516dc3081" w:id="107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78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0bfa73c-d3a0-41eb-b2be-1772bcc48342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节奏控制</w:t>
      </w:r>
      <w:bookmarkEnd w:id="107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421e00-753c-416f-9912-57345201398a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每天钩子数量决定操作节奏。</w:t>
      </w:r>
      <w:bookmarkEnd w:id="108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77a53e7-6971-441b-beaa-cd2d77c365d9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钩子多时精选最强形态，钩子少时耐心等待。</w:t>
      </w:r>
      <w:bookmarkEnd w:id="108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c8af90-2e62-424a-a06d-708cdf645563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保持轻仓、低频、高胜率操作。</w:t>
      </w:r>
      <w:bookmarkEnd w:id="1082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e0c297-5870-4489-bbf0-de97da1f8f0a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心态管理</w:t>
      </w:r>
      <w:bookmarkEnd w:id="1083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b6fc2a-8774-4963-a45e-85f1e9871265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不追求每天盈利，降低预期。</w:t>
      </w:r>
      <w:bookmarkEnd w:id="108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8369d2-1144-47ad-bee5-77c476f9f0ae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不与市场讲道理，只与技术信号对话。</w:t>
      </w:r>
      <w:bookmarkEnd w:id="108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bef202-2cbd-47bc-a088-f2dcccd680d4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控制情绪，避免被主力“玩人性”。</w:t>
      </w:r>
      <w:bookmarkEnd w:id="108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077eab-1e8f-4ab0-93cc-c41f8d24392f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**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未来展望</w:t>
      </w:r>
      <w:bookmarkEnd w:id="108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57e04f-0450-4bd3-a517-d95a61060c89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当前为牛市初期，适合积累经验与仓位。</w:t>
      </w:r>
      <w:bookmarkEnd w:id="108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cee1263-b893-4dc4-982d-16b0370a62c4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等待全市场共振上涨时，逐步加仓至满仓。</w:t>
      </w:r>
      <w:bookmarkEnd w:id="108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a8f163-8a5a-40d6-a794-9d650626abf3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长期目标：6000点，保持耐心与纪律。</w:t>
      </w:r>
      <w:bookmarkEnd w:id="109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588820465d89406aac8aa7a2c1252b54" w:id="109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9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2026-05-02T15:07:59Z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EuMTDh8cOD1aCqD9vo4IlBR8UNraqOZQV2E52gHCDjc=","ProduceID":"ai_zongjie:6a9eb5d689f9bb71771b87d00724b129","ReservedCode2":"EuMTDh8cOD1aCqD9vo4IlBR8UNraqOZQV2E52gHCDjc=","PropagateID":"ai_zongjie:6a9eb5d689f9bb71771b87d00724b129","ContentProducer":"001191440101MA9Y9T4H7A00000"}</vt:lpwstr>
  </property>
</Properties>
</file>