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1beccc27f494f91ae8680191653225f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“分歧转一致”的核心选股逻辑，详细解析了B1买点的关键技术特征：缩量、小K线（振幅限制）及均线支撑。通过多案例演示了标准与非标准形态的识别、止损策略，并对比了个股与ETF在牛市右侧交易中的优劣及应用方法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816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badf6b9-8dd6-42f6-8f53-92e468fa0bef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核心原理：分歧与一致的转化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628e63e-e322-4dbc-b5cf-136c26647475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涨停代表多头战胜空头，但此时存在巨大分歧，场外资金追高风险大。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fcd4dd0-c005-4cc9-8038-1d91caab90cc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最佳入场点并非大涨日，而是分歧后突然缩量变成小阳线或小阴线，表明多空达成短暂平衡（一致）。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08cdcd-735d-40bf-ba91-6a02f9c252b1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上涨趋势中容错率高，但需等待“分歧转一致”的信号，即成交量萎缩且K线实体变小。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939af2-63e1-42a4-a69a-c4646489c75b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关键K线特征与量化标准 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0f98bc2-14c5-4b26-abd1-4ed1992f55e3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关键K线定义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：连续缩量至地量，同时勾出大负值指标，且K线实体在-2%到+2%之间的小K线。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f91dacb-5989-47dd-81a1-d2a319beea3b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作用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：在上涨趋势中，这是终结短期调整、开启新一轮上涨的反转K线。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4e4709-8924-43e6-a060-d60ac638add4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振幅限制条件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54ee964-4432-4452-a8bd-80c05bc20300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主板（600开头）：当日振幅最好在4%以内。</w:t>
      </w:r>
      <w:bookmarkEnd w:id="101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9edf4d5-ffbd-4357-862d-2ef1d2a4ae08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创业板、科创板、深成指成分股：当日振幅限制在7%以内。</w:t>
      </w:r>
      <w:bookmarkEnd w:id="101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f7ee553-2ee8-48e0-911a-efa6dcd86513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排除北交所及振幅过大的个股，因为大幅震荡说明主力控盘能力弱或分歧未消除。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8ea352-6e73-4168-95c3-68d8f431bb67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案例分析：标准与非标准形态辨析 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4af53c-0d7e-47a7-a880-b58327707078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长安汽车案例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：极致缩量（如0.32）后的极致小K线，表明多空平衡，多头将延续优势。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81f46d-a739-40fa-bf88-cae1f9ab9713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无效形态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：若缩量大但非地量，或K线振幅过大（如上下影线长），则不属于标准“十张图”范畴，建议回避。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bf93544-5d43-40f0-a8a0-2c5d33cdacc0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完美形态（娜娜图）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：缩量至地量，振幅极小（如2.62%），收小阳线，主力高控盘，后续爆发力强。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084613-af97-4fd0-be61-37d9f6ad7e86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操作要点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：必须在“一致”时买入，严禁在“分歧”时（如大阴线、长上影线）加仓或入场。</w:t>
      </w:r>
      <w:bookmarkEnd w:id="101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6ac2586-9206-4165-afaf-c839c9a811ad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均线系统与止损策略 </w:t>
      </w:r>
      <w:bookmarkEnd w:id="101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d972160-9b3b-443d-b188-9bb37e180735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黄线（大哥线）原则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：原则上不做黄线以下的股票。若强行参与横盘区间个股，必须设置严格止损。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a8d3d0-110f-4884-98e8-98d0571327e0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白线止损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：跌破白线应视为短期趋势破坏，需止损或减仓。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9220cc4-4946-49c0-bff8-ca8cddd81272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破位处理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：若股价跌破黄线且无快速收回迹象，应坚决离场；若盘中快速下杀后收回，可观察次日是否修复，否则继续止损。</w:t>
      </w:r>
      <w:bookmarkEnd w:id="102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fed78d-ea2d-4b4b-ab30-fbf023d21aea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：止损后若选股系统再次发出信号，可重新介入，避免主观赌博心理。</w:t>
      </w:r>
      <w:bookmarkEnd w:id="102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98dc8fe-1751-447a-927d-7aef53739673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ETF交易策略与适用场景 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5e7b776-3814-4592-9632-79a523e1bf33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适用环境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：仅在牛市右侧（白线与黄线金叉后）参与ETF波段交易。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6d28916-5f88-4338-9a20-c79ec34a7b3c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优势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：省去选股烦恼，利用N型结构做波动，适合无法深入研究基本面的投资者。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ee4289b-d818-432e-85cf-4835bdc7e4d7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劣势与风险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：熊市或震荡市中，ETF缺乏个股的基本面信仰支撑，被套后解套周期长且痛苦；个股可通过研究公司基本面获得持有信心。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6a7028-1cdc-4bc7-85f1-b914f7086d45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：牛市本质是做交易和波动，ETF前十大成分股多为指数贡献主力，跟随指数N型结构操作即可。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df0df1-807d-4e4d-b3ee-55eb53d02bbe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实战选股与风险提示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716010c-63c9-4dec-9bf8-fed062705ff1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流动性风险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：避免选择成交量过小（如3000万）的个股，防止因资金集中涌入导致流动性枯竭或被主力反向收割。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35a5cac-792f-4c3d-9fc0-579f43c086fc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市场稳定器角色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：大资金应选择流动性好、成交量大的标的，避免成为市场的扰动因素。</w:t>
      </w:r>
      <w:bookmarkEnd w:id="103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a1ef580-2c70-469a-9d23-2adfc16a9d3c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案例点评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：对部分符合“娜娜图”标准的个股进行技术面剖析，强调不推荐具体代码，仅作为图形教学，投资者需结合自身策略独立判断。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1a0cf8-5c11-484f-b0fa-5754a151bd1e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最终建议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：严格执行止损，不因单次失败而改变系统纪律；在牛市背景下，仓位管理和坚持持有比频繁换股更重要。</w:t>
      </w:r>
      <w:bookmarkEnd w:id="103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e6ad74a224f4b628ce632ad48bdb026" w:id="103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34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2026-05-05T03:10:10Z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vIw20XuI+xa1qcLa6UiQpraecTQztS/YG9pUUC+oS8=","ProduceID":"ai_zongjie:d2d892059a6476b03ea0791556c0a3b3","ReservedCode2":"xvIw20XuI+xa1qcLa6UiQpraecTQztS/YG9pUUC+oS8=","PropagateID":"ai_zongjie:d2d892059a6476b03ea0791556c0a3b3","ContentProducer":"001191440101MA9Y9T4H7A00000"}</vt:lpwstr>
  </property>
</Properties>
</file>