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bdee94d99f743fc9eedc75d74f1e30c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技术分析中的顶背离识别、量价关系解读及主力操盘逻辑。重点解析MACD背离本质、假阴真阳含义，强调爆发减仓策略与黄线支撑重要性。通过多只个股案例，阐述洗盘、出货特征及牛市见顶信号，建议控制仓位，等待大盘企稳及新主力入场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7378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49d88b-0587-49ce-ac3a-133cd9b7b76c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主力出货与S1卖点解析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de1519-5652-4e44-9a84-5adc7991c80e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分析某大盘股走势，指出主力（私募/机构）在解套后卖出，呈现标准S1卖点。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790383c-cfb3-4b24-b58c-2eab9ebcf469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强调若未在S1位置离场，后续即便大盘上涨也难以回本，因个股缺乏持续实力。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845a6c6-f4f0-4c44-81c4-045817247b54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回顾该股从底部放量翻倍至高位的过程，确认主力已获利了结。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3bdfdd0-2e78-4d1f-b981-34db601bd58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爆发减仓策略与操作纪律 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1d15eac-c27a-4a5f-a8f1-83fb29c29b74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针对锐捷网络等个股，强调在大幅上涨（如10%-20%）时应执行“爆发减仓”。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e9ebb4-7c48-4bfb-a153-e1d425255b72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提出具体减仓方法：分批卖出（如1/5或1/10），逐步降低持仓成本，保留利润。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ba985a8-c78c-40f4-9e2a-29e40865d8f1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区分新旧趋势：若处于新趋势初期且前期滞涨，减仓比例可适度降低；若已大幅拉升，应果断减仓。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9246a43-c0cd-4a3a-908f-2aff837560c2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MACD顶背离与双头形态分析 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5adf98-70a0-4071-bd48-b18439febda7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以创业板某股为例，讲解双头形态及标准顶背离。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09cdae9-fcb0-4220-a60e-463b719930fe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指出从深幅低位反弹至高位需巨量配合，若量能不足则难以突破。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831473-7afa-4c49-82a2-a32ecb156d8d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演示庄家如何通过巨量拉升、缩量十字星及MACD翻红来修复指标，但强调此过程成本高昂。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53fe8c7-f35e-4cea-9c3d-def4a98b29d9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结论：三重顶或多次背离后，若无法持续放量，则下跌概率极大，应坚决离场。</w:t>
      </w:r>
      <w:bookmarkEnd w:id="101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32dc3e6-bf3d-47a9-8dfa-ef0a5bced20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假阴真阳与量价强弱逻辑 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e5ab7e-3c13-4ef8-93f7-82d443185da2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定义“假阴真阳”：收盘价高于前日但低于当日开盘价，显示多头惨胜，元气受损。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c30dc38-606d-419a-a2ba-d3e1ceb8e066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对比三种K线强度：放量长阳（最强）&gt; 假阴真阳（次之）&gt; 放量大阴（最弱）。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7bb29c8-5188-4d2d-a329-8f1cfb04dca9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解释假阴真阳后走势：若筹码轻盈或有新资金介入可能反转；否则需长时间消化套牢盘，庄家运作难度大。</w:t>
      </w:r>
      <w:bookmarkEnd w:id="101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e322a8c-20a0-40df-96cc-33da7c4394c9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个股案例深度复盘 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54ac532-26cf-4d1a-b32b-3f6b5c049232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潍柴动力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：出现标准S2卖点，主力尝试反包失败，因背离导致控盘能力下降，筹码松散，需真金白银拉升，最终选择放弃。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b800ad6-327d-45d6-b5d9-248a046aa16c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中科曙光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：顶部横盘出货，形成“A杀”走势，警示此类形态风险。</w:t>
      </w:r>
      <w:bookmarkEnd w:id="102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7fee6bf-5945-4251-8f94-bd850833826e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赢时胜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：作为十倍股，在大哥（龙头）未创新高时，小弟已透支涨幅，任何位置均不建议参与，仅属交易性机会。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b703c8-9326-4f1f-8186-96ae46f45eeb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宁可信其有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：高位放量后需长时间消化，即使反弹也难破前高，建议等待回落至黄线附近企稳。</w:t>
      </w:r>
      <w:bookmarkEnd w:id="102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f0e3a90-7a9f-494c-856c-d98edf5f16a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黄线与白线的技术意义 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87c5cd8-e615-47e5-8243-72f2aaf4ef5a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强调“两根线”（黄线、白线）在判断趋势中的核心作用。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43f2a5-f46b-44a6-a3f9-d9cc34ec1d19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指出牛股不应跌破黄线，一旦跌破且MACD走弱，意味着空头占优，进入“下跌中继”模式。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3a3b515-23a8-4067-8bb5-041e18aaee77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线上逻辑：分歧表现为大阳线，一致表现为缩量小阳；线下逻辑相反，分歧为大阴线，一致为下跌中继。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0f4e4b3-0f2a-4725-b0c3-90929d7a511b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板块与个股联动分析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db02870-0b1e-4094-a5ec-234bbeb1f5ff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锂矿板块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：亿纬锂能因量价关系良好贡献指数；赣锋锂业、天齐锂业因量能不足或背离，需巨量涨停才能扭转趋势，否则将阴跌。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2eac0b-2e14-4610-959a-5f70a0d96281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稀土有色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：视为本轮主线，因“反内卷”逻辑支撑，但个股需等待洗盘结束、重新放量突破。</w:t>
      </w:r>
      <w:bookmarkEnd w:id="103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dff0478-a23e-45fd-88c9-83b0d2a6117f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恒宝股份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：背离状态下若无放量涨停确认，均为诱多，应回避。</w:t>
      </w:r>
      <w:bookmarkEnd w:id="103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c1e1953-d9aa-4a0d-af73-92e7b1beaa80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大盘展望与仓位建议 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285a6c-aeec-4b15-9836-550831fbd8a3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判断当前市场存在真实卖压，活跃市值下降，建议控制仓位，避免轻易开新仓。</w:t>
      </w:r>
      <w:bookmarkEnd w:id="103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7fc734-78e1-436a-b953-bfd7496998af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预测大盘最佳走势为温和回调至黄线支撑，而非快速杀跌引发融资盘穿仓。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9d1e6b-fbf8-4774-b8ec-2fb6712e75bb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建议半仓操作以平衡踏空与套牢风险，等待美股降息等外部利好共振。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e88f13d-65c1-4118-9c4c-56e373900b76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预告白酒板块可能在四季度出现B1买点，建议关注低估值优质标的。</w:t>
      </w:r>
      <w:bookmarkEnd w:id="103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aa885c9-9555-4340-82f4-b5746e55ab0b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直播预告与互动 </w:t>
      </w:r>
      <w:bookmarkEnd w:id="103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03e4ea-8007-494d-bb66-c18a0abfe784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通知周五晚在厦门安踏直播间进行短时交流。</w:t>
      </w:r>
      <w:bookmarkEnd w:id="103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b2dbf69-078a-4f83-9a82-9ce40dfc8152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计划周日直播探讨白酒投资逻辑，并与观众互动。</w:t>
      </w:r>
      <w:bookmarkEnd w:id="104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bc08bf168ba47e68b06b0198a003de0" w:id="104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2026-05-05T03:10:19Z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M0MONKH4gDZfDXsLTQ50APhmxTIsKnB7+tjoYh2jBg=","ProduceID":"ai_zongjie:0643b472cb3950e1093bc69b385d45c0","ReservedCode2":"WM0MONKH4gDZfDXsLTQ50APhmxTIsKnB7+tjoYh2jBg=","PropagateID":"ai_zongjie:0643b472cb3950e1093bc69b385d45c0","ContentProducer":"001191440101MA9Y9T4H7A00000"}</vt:lpwstr>
  </property>
</Properties>
</file>