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ffa32e1006e145b284ba364585dede9b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B2战法的三大暴力图形（平行重炮、灾后重建、跃跃欲试）及其核心选股条件，包括涨幅、放量、KDJ勾值小于55、无上影线等量化标准，并强调了黄白线趋势判断与严格交易纪律的重要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184023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0298514-0814-4340-af2f-1e0127c27cf0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准备与引入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发言人开始讲解，提及南门涮肉作为闲聊话题。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441610b-bf0f-427c-a910-d59f61ee79ae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B two玩法对盘子要求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明确指出b two玩法对盘子没有特殊要求。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85d753f-3708-4049-adc4-33a9859637b3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双枪距离要求及常规战法说明 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8459f1d-bf92-43e4-b005-89088f7a6d73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双枪距离要求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双枪距离无硬性规定，但需避免过窄，应保持相对平行位置并出现放量长阳。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f6fe148-79d3-44d9-a050-27f9b4099dc0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常规战法说明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标准战法为顺势而为N形结构，属于基础操作方式。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7cb1678-cf21-4a98-87fd-ec49361f60a5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三大暴力图形之一：平行重炮 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c65dc17-6700-4d72-9078-3565ffedd8b7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一门视为常规战法。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c78696f-b9ff-4769-8291-4392cf9731e4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两门及以上称为“平行重炮”，是第一大暴力图形。</w:t>
      </w:r>
      <w:bookmarkEnd w:id="101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7bb167b-355b-49b7-9d51-5985495b1a71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三大暴力图形之二：灾后重建 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2076a24-3842-4d9f-9c83-57f22216b931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概念解释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类比天灾后的城市重建，往往采用更先进的技术和设备，实现快速现代化。</w:t>
      </w:r>
      <w:bookmarkEnd w:id="101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4ca8331-e506-4614-be41-431e4b5b2b65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量化标准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放量金叉后缩量回踩黄线具有极高交易价值，代表连续拉升前的最后震仓动作。</w:t>
      </w:r>
      <w:bookmarkEnd w:id="101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9baa85a-d87b-405a-90e8-4e1885fd2c1e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确认逻辑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踩完黄线后若出现一根放量中长阳线，则可确认为“灾后重建”形态，不仅确认B1止跌，也确认黄线支撑有效。</w:t>
      </w:r>
      <w:bookmarkEnd w:id="101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0533b9c-93cc-413a-aa76-71bed6a3934a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案例分析</w:t>
      </w:r>
      <w:bookmarkEnd w:id="101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e02e253-0983-4e9e-840a-2d56b7123c97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晶科科技：经历建仓波回调后，在接近黄线处形成B1；随后因市场调整进入股灾级别下跌（跌幅达20%），最终在黄线附近收出放量长阳完成灾后重建。</w:t>
      </w:r>
      <w:bookmarkEnd w:id="101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35878af-f76b-485c-9372-8a715e44924c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美迪西（6月23日）：从高点回落打到黄线，形成开口较小的理想晚型结构，待B2放量击穿后启动灾后重建行情，短期内上涨50%。</w:t>
      </w:r>
      <w:bookmarkEnd w:id="101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9695b18-5f9c-4079-b3ce-c9aa34c206c8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英菲特（9月5日）：从17.14元跌至13.94元，跌幅超18%，符合股灾定义，随后形成三门重炮形态并启动灾后重建。</w:t>
      </w:r>
      <w:bookmarkEnd w:id="101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5e49a07-1829-408e-bcb5-ac6ceb2c0f87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买入时机与止损设置 </w:t>
      </w:r>
      <w:bookmarkEnd w:id="101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2441255-805d-48cc-935b-fa3ca82e84a5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止损设于N型结构低点或买入K线下方，以白线作为参考。</w:t>
      </w:r>
      <w:bookmarkEnd w:id="102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2537677-0a88-4270-924b-fd53a66ebe47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即使盈利已达20%，仍需遵循纪律防止回吐利润。</w:t>
      </w:r>
      <w:bookmarkEnd w:id="102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87e6129-b728-43a9-b172-a14677f0be73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特殊情况案例：安德利（4月23日）</w:t>
      </w:r>
      <w:bookmarkEnd w:id="102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111158a-121a-4c5b-9d56-b1dcdad82202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图形呈现反向重炮特征，绿柱放量下跌后突然缩量再杀跌，随后巨量反包。</w:t>
      </w:r>
      <w:bookmarkEnd w:id="102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4a12061-d5aa-4cc9-bf83-930ed99af63c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关键识别点在于主力高度控盘且未出货，表现为股价平稳而成交量极度萎缩。</w:t>
      </w:r>
      <w:bookmarkEnd w:id="102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d971110-d46d-441a-a596-0bdb316afbae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若在低位出现放量跌停真出货行为，则后续反弹不应参与。</w:t>
      </w:r>
      <w:bookmarkEnd w:id="102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efe4c56-e6a3-4efd-8577-a915107f6fe7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该案例显示两次震仓行为，体现主力高度自信与完全控盘状态。</w:t>
      </w:r>
      <w:bookmarkEnd w:id="102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99a236a-d8df-4d32-8a43-b3af39005aef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启动后涨幅达63%，为所有案例中最强势表现。</w:t>
      </w:r>
      <w:bookmarkEnd w:id="102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db252eb-175b-4aa0-8511-7f1cca7b83bb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高位放量需警惕，可能为主力诱多出货行为。</w:t>
      </w:r>
      <w:bookmarkEnd w:id="102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1f71ff3-acee-47a3-ad1e-a4dd39036674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三大暴力图形之三：跃跃欲试 </w:t>
      </w:r>
      <w:bookmarkEnd w:id="102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33c4fad-b595-4e9d-8e8b-6268b9f29866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横盘期间出现放量中大阳线，伴随红肥绿瘦特征。</w:t>
      </w:r>
      <w:bookmarkEnd w:id="103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43c7121-7c71-44a0-b0b0-90e3cccf2481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心理预期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经历多次假突破后，市场预期“总有一次是真的”，形成箭在弦上的突破态势。</w:t>
      </w:r>
      <w:bookmarkEnd w:id="103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c47d10d-e322-4ae5-9e4d-3fd573437430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事不过三原则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一般从第三次放量中阳起成功率提升，但非绝对规律。</w:t>
      </w:r>
      <w:bookmarkEnd w:id="103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8246dbe-2042-4dde-af61-a36f01eb1b2b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止损策略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设于N型结构低点或区间相对低点，也可设于白线/黄线之下。</w:t>
      </w:r>
      <w:bookmarkEnd w:id="103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770090e-cf6f-4f1e-a4dc-a48e1699881c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案例分析</w:t>
      </w:r>
      <w:bookmarkEnd w:id="103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433a6b4-e6f1-409b-9077-6506802e297c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顶级数字：标准横盘区间，红肥绿瘦明显，第三次放量中阳突破后直接上涨9.31%，随后继续大幅拉升。</w:t>
      </w:r>
      <w:bookmarkEnd w:id="103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fd4dd25-f9b6-4ce3-b4f7-ad1670ea1f5a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潮宏基（5月16日）：横盘期间多次放量，最终形成三门重炮形态并成功启动。</w:t>
      </w:r>
      <w:bookmarkEnd w:id="103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b03f3f8-685e-493c-8a5f-d0996314e481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海天瑞声（7月8日）：低位放量大阳线，B1与B2清晰，随后快速上涨。</w:t>
      </w:r>
      <w:bookmarkEnd w:id="103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587b7c3-9404-4d87-aa36-8fc04efe2c58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路桥信息（6月23日）：横盘期间白线扭至黄线上方，随后放量11.37%中长阳启动。</w:t>
      </w:r>
      <w:bookmarkEnd w:id="103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35d8a9e-c342-446d-b577-b63bf95efe62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幸福蓝海：横盘三次后突破，符合“事不过三”逻辑。</w:t>
      </w:r>
      <w:bookmarkEnd w:id="1039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e86136b-0e6c-450d-af5f-df2fd981bfb6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奔朗新材：类似幸福蓝海图形压缩版，三角形整理末尾放量突破，实现30%涨幅。</w:t>
      </w:r>
      <w:bookmarkEnd w:id="104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d7c34b9-0c0d-4a05-bbe0-9b127272c202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新瀚新材（8月4日）：经历三门重炮失败后遭遇股灾式下跌，洗盘完成后重新构筑双枪形态并成功启动，实现翻倍行情。</w:t>
      </w:r>
      <w:bookmarkEnd w:id="104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ac77381-2c46-462b-b219-7923dac90e07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B2选股五大核心条件 </w:t>
      </w:r>
      <w:bookmarkEnd w:id="104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95ef4a7-c6f2-4f86-9e68-4ada35e1a44e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勾拐头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KDJ指标中的J值（勾）必须在B1之后出现拐头向上趋势。</w:t>
      </w:r>
      <w:bookmarkEnd w:id="104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8509f6f-1573-4fc7-9b80-01af2bf7dd09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涨幅≥4%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B2当日涨幅须大于等于4%，3.96%视为不达标。</w:t>
      </w:r>
      <w:bookmarkEnd w:id="104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2c4b0fd-d4d6-4067-8df1-efb0b6959808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比前一日放量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成交量需高于前一交易日，平量亦可接受，若有阳包阴形态更佳。</w:t>
      </w:r>
      <w:bookmarkEnd w:id="104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20c5328-47c8-44fe-af56-6e06b249326f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勾＜55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J值必须低于55，这是经过历史回测验证的大概率成功临界点，反映筹码清洗充分。</w:t>
      </w:r>
      <w:bookmarkEnd w:id="104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c7d10dd-02b0-4213-88a3-d768230a1dc4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无上影线最好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K线以上影线越短越好，理想为光头阳线，代表主力坚决做多意图。</w:t>
      </w:r>
      <w:bookmarkEnd w:id="104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c0a9f91-2782-443a-a8f6-6aa3a57f11ec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战法适用环境与补充说明 </w:t>
      </w:r>
      <w:bookmarkEnd w:id="104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da4af1a-8fdb-4895-bcd4-8674672cc54a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熊市不适用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B2战法适用于牛市环境，熊市应关注绝对低估值或基本面改善机会。</w:t>
      </w:r>
      <w:bookmarkEnd w:id="104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ad9af46-549d-4965-aa5c-388c8690abe9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ETF使用条件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仅适用于成交量较大的ETF，年成交额几百万级别的不宜使用。</w:t>
      </w:r>
      <w:bookmarkEnd w:id="105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3ff9bbc-fed1-43b2-a689-174867c81e68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跳空允许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B2允许跳空上涨。</w:t>
      </w:r>
      <w:bookmarkEnd w:id="105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9848f74-e5c6-47ca-8d0f-bf6f97577fde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买点确认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B3战法为第四天买入，而非B2次日即买。</w:t>
      </w:r>
      <w:bookmarkEnd w:id="105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4f6554b-2e1d-4279-87c6-b9507b445a18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常见问题解析与误区警示 </w:t>
      </w:r>
      <w:bookmarkEnd w:id="105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eafd359-80a5-4ec0-a1fd-800d8955b7dd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实战评估与决策流程 </w:t>
      </w:r>
      <w:bookmarkEnd w:id="105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443fddf-1ca1-40ef-992d-700540af3039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失败案例反思：三维化学 </w:t>
      </w:r>
      <w:bookmarkEnd w:id="105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83784c1-b4ec-4d22-8ddf-3155d23924e3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错误案例剖析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某两涨停图形评分仅40分，因其存在两大硬伤：一是J值已达71（＞55），二是顶部缩量创新高，量价关系背离。</w:t>
      </w:r>
      <w:bookmarkEnd w:id="105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2dd95c1-dbac-4f36-9417-330f3db657c4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完美灾后重建模型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理想形态为顶部放量阳线建仓，缩量洗盘到底部地量，再放量回升踩黄线完成最后震仓。</w:t>
      </w:r>
      <w:bookmarkEnd w:id="105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150bd97-35c8-42d3-94a5-92b4081cb6da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恒久必跌辨析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“横有多长，竖有多高”仅为顺口溜，实际应用中需结合红肥绿瘦判断；绿肥红瘦则可能对应“恒久必跌”。</w:t>
      </w:r>
      <w:bookmarkEnd w:id="105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8252bef-e273-45a9-9a2b-2eb394645e79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黄白线重要性重申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所有案例中除个别外，均要求白线位于黄线上方，趋势未扭转（白线下黄线）时不参与。</w:t>
      </w:r>
      <w:bookmarkEnd w:id="105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c56b259-adae-40dd-96c5-f07a06b16e4f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假阴真阳废止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不再使用“假阴真阳”概念，统一按真实K线性质处理。</w:t>
      </w:r>
      <w:bookmarkEnd w:id="106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e445deb-216f-47b8-84f3-776dc4b5ee53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开超市建议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B1阶段可多选（青训模式），B2阶段不建议开超市，需精选高确定性标的。</w:t>
      </w:r>
      <w:bookmarkEnd w:id="106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ebee46b-6de9-497e-aaa6-a4def594d36a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对粉丝提交的候选股进行现场评估，强调必须符合五大核心条件。</w:t>
      </w:r>
      <w:bookmarkEnd w:id="106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3ae4da5-a217-4b08-801d-84f6c552da54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不符合标准的图形即使看似突破也不参与，如长上影、量价不符、趋势未扭转等情况。</w:t>
      </w:r>
      <w:bookmarkEnd w:id="106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2301631-a772-4c57-b4e9-632388233644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允许将潜在标的放入自选池观察，待其满足白线上黄线、B2放量阳线等条件后再介入。</w:t>
      </w:r>
      <w:bookmarkEnd w:id="106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7b15997-18bd-4c76-bdbe-4fae27b13ec1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初始形态评分80分，具备双枪结构。</w:t>
      </w:r>
      <w:bookmarkEnd w:id="106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e840d1f-2941-436a-aea8-a4cf4b64d787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因某日出现不合逻辑的放量上影线，导致买入后迅速回调破位。</w:t>
      </w:r>
      <w:bookmarkEnd w:id="106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4246bd6-5bb9-481c-b3f1-dbf25cb5b891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最终亏损近10%，归因于对非完美信号的妥协。</w:t>
      </w:r>
      <w:bookmarkEnd w:id="106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5376d57-f85a-4381-8fb5-f566a5c65146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结论：完美图形做错也要做，不完美图形即使做对也难持续，应坚持严苛筛选标准。</w:t>
      </w:r>
      <w:bookmarkEnd w:id="106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935014644ebb4dfeb5c6fd726d222e11" w:id="106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69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2026-05-02T12:54:29Z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+3wYomfOnzYAP2zRHoYMwMzI7GHrGL8fphH8I8Zu/SQ=","ProduceID":"ai_zongjie:08a6ba453d29206da5e8eb9436a0c218","ReservedCode2":"+3wYomfOnzYAP2zRHoYMwMzI7GHrGL8fphH8I8Zu/SQ=","PropagateID":"ai_zongjie:08a6ba453d29206da5e8eb9436a0c218","ContentProducer":"001191440101MA9Y9T4H7A00000"}</vt:lpwstr>
  </property>
</Properties>
</file>