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6f3769551bc4dd99d0ba381e6675ee3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市场技术分析中的N型结构、B1B2交易模式及主力操盘逻辑，结合银行、券商、港股龙头等板块案例，剖析了市场轮动、工具性板块与主力资金博弈的深层规律，并强调在政策主导行情中保持战略定力与正确心态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914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9a96c0793b74de7b988548879225f41" w:id="1003"/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2118f2d-20bc-4976-ac78-34230ab765df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常规图形与N型结构识别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e6d3613-62d4-4d1c-8fa7-f676d4b3c3a6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视频开篇指出当前走势为标准的“N型结构”，应顺势而为。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f941d3-fd68-410f-83a4-483d59a831c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强调图形判断需第一时间反应，若未创新低，则视为一笔上行趋势，无需拆分为多笔。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2496fe-e11c-4578-a19a-f84640e3d85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B1B2交易模式解析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9d2e5c-714e-4bb4-a37f-cddbf550d6ab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在关键位置是否设止损取决于能否承受约10%的回撤，如3.17元为止损位。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029fbb-f3e1-4603-8929-cb058519a50d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区分两种B2形态：一种是未创新高但收盘已突破前阴线顶部，属于有效突破；另一种仍处于前放量阴线高低点范围内，视为弱势控制。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7448ae2-c1ad-4d9d-8abd-db9bc5232f10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明确指出当前某股最高点与最低点均被前期放量阴线覆盖，表明仍受其压制。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194663-38a3-42b8-961a-cd317011ab1a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主力控盘与出货特征分析 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ba31b0a-9776-43c9-9e1c-346e7fb767c4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大盘权重股的出货必须出现在情绪最高峰时，表现为从涨停或高位直接大幅回落。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b94ebd8-35a4-461a-b1dc-df5ce6e17f37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出货K线需具备显著放量特征（至少达到前高成交量的3/4），半量不构成有效信号。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0ceb5a-7215-4857-b9da-0356570bda2d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举例说明券商板块整体呈现割裂状态，部分个股缩量至半量，显示资金博弈复杂。</w:t>
      </w:r>
      <w:bookmarkEnd w:id="101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a5a9c4-ad84-444b-9965-815593f51cee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市场割裂与龙队影响 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59151ad-eff4-4761-a796-e10d2bdd344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券商板块走势割裂源于“龙队”利用权重股随意操控方向，而小票又有其他资金介入，导致乱局。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ba3dddf-a655-4fd8-bcf9-5872e146cceb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华泰证券拉涨停、出现B3信号，进一步加剧混乱。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5229a7-ade3-4cf0-8efe-8aba53eae8a2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建议应对策略为“多看少动”，避免在神仙打架中受伤。</w:t>
      </w:r>
      <w:bookmarkEnd w:id="101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6d2bcb-8b6a-4ac0-aa30-bdce8807fcf5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方向预判与资金流向观察 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65e1c1-1aac-4641-b17f-8ba8a9e6c347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若外盘持续拉升半导体、AI算力、存储、有色等板块，可能导致短期内指数快速上涨100点。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a763457-ccb1-41bf-9343-0a3e405c13d7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此类上涨会抢占本可能属于券商的行情空间，造成板块间争夺资金。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cf539b-ceea-42f0-bc4b-d7a407c2f92c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预测十月行情目标为冲击4000点，目前处于“上有顶下有底”的震荡格局，每月约有100点波动空间。</w:t>
      </w:r>
      <w:bookmarkEnd w:id="102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c7e310-141d-4bf0-80eb-98918bc3818f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银行作为工具性板块的定位 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a2b8b23-7397-4980-bc0f-03bb59ee4d63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银行已被明确用作调控大盘指数波动的工具，在涨多时压盘、跌多时托底。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4ecb24d-7518-4adc-8cc3-d16b6c13d9cd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其走势不再遵循传统估值逻辑，而是服务于整体市场节奏，因此难以预测。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bb20fc-e9b2-4628-9039-4a50bfa0518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持有银行股应理解其“低波红利”属性，即长期小幅波动带来稳定收益。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86db530-7d32-402b-89e4-b48d44218dd2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即使短期下跌近10%，对整体净值影响有限（如10%仓位亏损1%）。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a2aecd-78c3-4ee7-8a09-7898bdb103da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当市场未来冲高至4500点并进入调整阶段时，银行将成为抑制波动的核心工具。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7a769f-4be6-4caa-b5aa-f54ef78d39d3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买入时机与成本优势讨论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704faf-ac81-4a13-a4e9-ec066be0fcc4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强调应在B1位置建仓，而非追高入场。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95df2b0-2429-4cab-ab24-1bb6b1414796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以工商银行为例，若在B1处买入，即便后续回调，损失也极小（如1.75%以内）。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343e80-055f-4867-8b80-81cb10edb90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对比指出，若在高位追入，即使仅亏7%，扣除分红后实际亏损约5%，属正常学费。</w:t>
      </w:r>
      <w:bookmarkEnd w:id="103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4a0b72-b451-4b76-bf6b-a99e7798283f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主力最后拉升与出货行为识别 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a05b48-0142-476c-8874-09bb4a58502f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通过计算目标价方法演示主力拉升空间：例如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730-170+730=1290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aed06d-8ebf-47f5-aecc-0ee57d77bb8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类似地，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428-202+428=654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，该位置成为阶段性高点。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f15387-5ef6-4a19-b0f7-3abbe17a175f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主力在654附近释放最后一波拉升（“最后一舞”），形成极端长上影线，随后迅速三根大阴线砸下，确认见顶。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72be99-747b-4a68-9011-c4972cbed277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此类K线组合称为“撸出血”，是典型的出货前兆。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5dde7f-4711-4f74-b249-de1a210010b1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出货区域位于跳空后的所有阴线区间，主力在此完成绿肥红瘦式的派发。</w:t>
      </w:r>
      <w:bookmarkEnd w:id="103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2ddaf30-6372-44e1-b49d-3fc8ad6f6e0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港股龙头队长（腾讯）走强逻辑 </w:t>
      </w:r>
      <w:bookmarkEnd w:id="103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3db60ed-8f8b-403e-a60a-a21bc00c8f74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恒生指数与个股表现对比 </w:t>
      </w:r>
      <w:bookmarkEnd w:id="104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df7b91-7815-4ad5-9944-c72c9e8e29c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中国发展潜力与居民储蓄数据论证 </w:t>
      </w:r>
      <w:bookmarkEnd w:id="104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c6f9c9-22a2-4a79-919c-b735c7ab1052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城市经济复苏观察 </w:t>
      </w:r>
      <w:bookmarkEnd w:id="104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8406ee-05fe-4c4f-8878-931f5daa4175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市场尚未真正启动的判断 </w:t>
      </w:r>
      <w:bookmarkEnd w:id="104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e54e3b-b267-4f0b-8dcb-d6c2100e88c7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管理层调控能力提升 </w:t>
      </w:r>
      <w:bookmarkEnd w:id="104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ad7eebc-f5c8-4365-b5ca-bc3cf7f57f20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投资心态与战略定位比喻 </w:t>
      </w:r>
      <w:bookmarkEnd w:id="104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d95b0b-ff5c-4829-b6ee-ffc23e7da695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主力运作房间隐喻 </w:t>
      </w:r>
      <w:bookmarkEnd w:id="104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3b085b6-5aa7-4efd-af17-7b7d1dbff578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货币政策与政策信号解读 </w:t>
      </w:r>
      <w:bookmarkEnd w:id="104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000a326-cf1b-4c7d-8173-90580f57136c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配置策略与操作建议 </w:t>
      </w:r>
      <w:bookmarkEnd w:id="104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ed4a63-537e-455a-96b3-db9d1f63ac1e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认知决定收益 </w:t>
      </w:r>
      <w:bookmarkEnd w:id="104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7f85f23-c0a8-4cf9-b38a-74f5ab57d459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队长（腾讯）融合AI+游戏、AI+社交、AI+传媒及芯片公司穗源科技，具备多重概念驱动。</w:t>
      </w:r>
      <w:bookmarkEnd w:id="105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61e7003-d086-43f3-98e4-efcb63c24a25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小马哥持续每日买入5-7亿元，反映其掌握内部信息或坚定看好后市。</w:t>
      </w:r>
      <w:bookmarkEnd w:id="105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78ba6c7-2466-4a46-a837-492c7ba1c044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相较阿里、京东在美国上市受制于华尔街做空中概股，腾讯因港股独立上市且无美股ADR，规避了外部打压风险。</w:t>
      </w:r>
      <w:bookmarkEnd w:id="105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d806ab-08ef-48cc-a54a-881338685ac4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腾讯微信具备不可替代性，支撑其成为港股核心资产首选。</w:t>
      </w:r>
      <w:bookmarkEnd w:id="105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a2a3a6-9b3b-4c9c-b144-2cd3e77f6dd6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美团经历单边下跌后启动估值修复，但涨幅仅66%，远低于队长300%和阿里200%。</w:t>
      </w:r>
      <w:bookmarkEnd w:id="105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97efd2d-c85d-4907-8dfa-69af420b6615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恒生指数整体上涨80%，而队长翻三倍，主因在于其业务稳定性、回购支撑及不受外资做空制约。</w:t>
      </w:r>
      <w:bookmarkEnd w:id="105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e74277-ceef-43ae-96ca-022a8044f67d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市场存在均值回归预期，美团有望补涨。</w:t>
      </w:r>
      <w:bookmarkEnd w:id="105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9aa0d2-5ed3-4f94-85d6-2235bbb1157b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中国有10亿人未坐过飞机，显示航空业巨大增长潜力。</w:t>
      </w:r>
      <w:bookmarkEnd w:id="105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8ca19f-1d5d-450e-9c34-ef1ff019c61b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截至2024年，美国居民存款约18.44万亿美元（约140万亿人民币），中国居民存款已达160万亿元。</w:t>
      </w:r>
      <w:bookmarkEnd w:id="105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788fede-1b8b-438b-a61b-4269aaa16344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中国仅发展了约4.5亿人即实现总量超越，说明剩余9亿人口蕴含巨大经济动能。</w:t>
      </w:r>
      <w:bookmarkEnd w:id="105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d4da00-baf1-44d1-880f-1215646c19b9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上海展现出强劲的国际化与商业化氛围，经济恢复明显优于北京。</w:t>
      </w:r>
      <w:bookmarkEnd w:id="106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b2b1f3-f138-4d84-bed6-5c7bfed6f05f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认为若无三年疫情影响，中国经济复苏将更为迅猛。</w:t>
      </w:r>
      <w:bookmarkEnd w:id="106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a8c818a-773c-437d-be69-641e5681886f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港股龙头自2022年11月见底，A股大权重亦于同期触底。</w:t>
      </w:r>
      <w:bookmarkEnd w:id="106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05fe84f-83e0-4c0c-b9bf-28e2c95988db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农业银行已上涨2.5倍，工行1.5倍，此为主力“打开市场空间”的动作。</w:t>
      </w:r>
      <w:bookmarkEnd w:id="106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2dcd28e-ff72-463b-80ad-ceb5cb8800de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券商等板块尚未启动，仍在底部蓄势，当前行情仅为前奏，“真正的行情没来”。</w:t>
      </w:r>
      <w:bookmarkEnd w:id="106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45306c-bd78-4c56-a1a5-9a4f1ddb9567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过去管理层仅靠口头引导，如今拥有“无限子弹”真金白银干预市场（如333888政策落地）。</w:t>
      </w:r>
      <w:bookmarkEnd w:id="106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48105f-ff57-484b-a3ec-13b3de67b3cf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现在的政策执行力极强，能有效压制或推动市场，投资者必须信服。</w:t>
      </w:r>
      <w:bookmarkEnd w:id="106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59f73f9-63b0-4799-a4cd-777266f74a98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使用“巴萨MSN阵容”比喻：只要体系强大，换谁执教都能赢，关键在于信任系统。</w:t>
      </w:r>
      <w:bookmarkEnd w:id="106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2caffb-215d-4dae-9275-53209d7dcf65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投资者应摆正位置——“咱们就是跪着要饭的”，只能等待主力赏饭吃。</w:t>
      </w:r>
      <w:bookmarkEnd w:id="106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fa6297-e257-47e3-b549-6cb9a0b9abba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不应试图指挥市场（“点菜”），而应紧跟主力动向（“去后厨看一眼”）。</w:t>
      </w:r>
      <w:bookmarkEnd w:id="106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de5512-7704-481d-a766-4a7e4f4d21f9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市场如同多个餐厅包间：</w:t>
      </w:r>
      <w:bookmarkEnd w:id="107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8c55196-264b-4750-b8e6-a99a2f1f98af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有的房间主力刚吃饱打嗝（银行），暂无新饭局；</w:t>
      </w:r>
      <w:bookmarkEnd w:id="107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18c7fb5-440b-41fe-96e7-746ac37baa95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有的房间菜已上齐但主人正在训孩子（如一倍儿风声板块），暂时不能动筷；</w:t>
      </w:r>
      <w:bookmarkEnd w:id="107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87c9f4d-4ed3-413d-9b6e-b335c7b0c1f1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有的房间后厨备料充足但尚未开席，值得期待；</w:t>
      </w:r>
      <w:bookmarkEnd w:id="107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9027070-4d45-4710-b9e5-16f662106a54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有的房间只剩剩饭剩菜（地产），可捡漏但非主流。</w:t>
      </w:r>
      <w:bookmarkEnd w:id="107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bcae0b-0002-47ea-8c57-69e6b18ffb4f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投资者应选择即将开席或刚开席的房间，远离已结束的饭局。</w:t>
      </w:r>
      <w:bookmarkEnd w:id="107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796b96-71ed-48ea-bbc6-fbca73357794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全球宽松背景下，美联储进入降息周期，中国坚持宽松货币政策。</w:t>
      </w:r>
      <w:bookmarkEnd w:id="107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a68966-f174-4478-b2c5-53e4b04528c6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政策层频繁表态“工具箱丰富”、“坚定不移支持市场”，等同于“领导举杯请大家吃好喝好”。</w:t>
      </w:r>
      <w:bookmarkEnd w:id="107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2c8ce9f-516c-4166-9cd1-2485810523d4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领导说完即走，后续行情由市场自行演绎（“by yourself”），投资者应抓紧动筷，不必等待二次招呼。</w:t>
      </w:r>
      <w:bookmarkEnd w:id="107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d414c2-0c67-4c03-9b13-4112207f7ac2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采用“双线战法”与“少妇战法”保护自身。</w:t>
      </w:r>
      <w:bookmarkEnd w:id="107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1d40a4-cb70-4e0b-8767-7d9814a5544d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重仓持有核心资产（如曼城阵容），配置部分ETF分散风险。</w:t>
      </w:r>
      <w:bookmarkEnd w:id="108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1ceccd-a2c3-4aab-b434-48435d443fc1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煤炭板块后厨蒸汽旺盛，即将上桌，可关注潞安环能等标的。</w:t>
      </w:r>
      <w:bookmarkEnd w:id="108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4b1333-da9a-48cf-8a8b-4651b9128c72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白酒ETF虽短期回调不足3%，但从B1位置买入不影响整体持仓，应耐心持有。</w:t>
      </w:r>
      <w:bookmarkEnd w:id="108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84d20b-b5cb-48f6-bb4a-1d98d1b8639f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ETF放量异动多为“龙队”所为，成本高于现价，无需恐慌。</w:t>
      </w:r>
      <w:bookmarkEnd w:id="108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5505abd-b74f-45cb-8482-11bb48ff027e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绝大多数人赚不到钱，根源在于认知局限。</w:t>
      </w:r>
      <w:bookmarkEnd w:id="108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b269309-275f-4a55-86ec-19d827d17ba7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不应将市场上涨归功于个人宣推，而应客观看待资金与趋势的力量。</w:t>
      </w:r>
      <w:bookmarkEnd w:id="108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61c324a467d4ff9a1eb7bcaac0b82ca" w:id="108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86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2026-05-02T12:54:45Z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SabXYhxnfIWX+ubC235BpDTGvhhQdxSIdqoBUsSJYI=","ProduceID":"ai_zongjie:4eb37bac3f49ba8e1b033de3e35fb7a9","ReservedCode2":"7SabXYhxnfIWX+ubC235BpDTGvhhQdxSIdqoBUsSJYI=","PropagateID":"ai_zongjie:4eb37bac3f49ba8e1b033de3e35fb7a9","ContentProducer":"001191440101MA9Y9T4H7A00000"}</vt:lpwstr>
  </property>
</Properties>
</file>