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a65e8f9d10141c593f5ea0a15cb5fd1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本视频讲述了股票K线图中“关键K”的识别与应用，重点解析了大资金入场和离场信号、趋势反转判断、走势衰竭信号及其在实际交易中的操作价值，并通过多个案例强调关键K对后续K线的管理作用及交易策略。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686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7b06c645c27409e9cb5cf2c992b5054" w:id="1003"/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3e1261d-3b67-486c-8d83-7bb32f27020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关键K的定义与核心作用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04ee9c-8828-4111-b2a4-91f07f408a07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关键K是指在价格走势中出现的放量突破性K线，通常标志着趋势的转折或延续。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b79e95-7690-4338-bda8-86d1611f2d3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它是大资金（主力）行为的直接体现，后续多数K线受其高点和低点的区间控制。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47717e-3326-44bf-9541-f3283c0fbf1c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出现关键K后，需画出其高点和低点连线，作为后续走势的观察基准。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b1b201-54b4-45fa-84fd-c552e64a93f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上涨趋势中的关键K识别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3e947f-9576-482b-8a35-8ff8c26be7e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上涨过程中横盘转为上涨趋势时，若出现“放天量”并吞噬前期筹码的关键K，则具有极强的操作意义。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6a9b05-5231-43b5-9766-d2f7123b9fc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此类关键K一旦形成，后续K线若在其高低点区间内震荡，则无交易价值。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10295e-97c6-4c35-b569-7e83054480ec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案例：某银行股从2.51元涨至4元，因筹码集中于主力手中，后续上涨无需巨量即可推动。</w:t>
      </w:r>
      <w:bookmarkEnd w:id="101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0eacef7-c9a0-4cd4-9806-cc9b257e088c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关键K的操作价值评估 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3bae9f-1642-4cd7-b084-40c6477bf01d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并非所有放量K线都具备操作价值。即使为关键K，若未有效突破前高或缺乏后续确认，则不具备追涨意义。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7ebac2-5aab-4611-9fd1-d304ed7c6ea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需结合位置、量能、突破有效性综合判断：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e123183-1004-4c2b-b274-d26d10b6620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若关键K未能突破重要压力位，则仅为普通波动。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3d75e21-5f5a-45e2-8433-f05130391abb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后续需等待另一根长阳关键K确认趋势启动，方可介入。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32ad3b-02cc-4dc2-bc8e-51902511e1a9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回调阶段的关键K与B1买点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03eba0-16d3-4de2-80ea-6ca21e04f1a1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回调过程中出现的关键K若未回踩“鼻翼”（即前关键K低点），则不能视为有效买点（B1）。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8ed38a-3d5c-40d5-8418-b8d285d110b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B1的成立必须满足：缩量回调至关键K下沿附近，且不破位，随后被迅速拉起。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c9ec52-8c48-47b9-a025-5cd11f14012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若始终未回踩鼻翼，说明多头强势，但此时追高风险大，应等待明确信号。</w:t>
      </w:r>
      <w:bookmarkEnd w:id="102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f4903b-7092-4b77-9480-8e603358699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关键K对后续走势的长期管理作用 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6534e6-e030-4399-9e75-232cef4dfc5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一根有效的关键K可长期主导后续走势，所有K线均在其划定的高低点区间内运行。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bba829-c977-466d-9aa6-0170382e0bf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只要未出现新的反向关键K或S1（出货信号），原有关键K持续有效。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c9f153-caad-409f-8f5f-c4df7436e2d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案例：发仔（某股票）5月14日的关键K决定了此后数月的运行区间。</w:t>
      </w:r>
      <w:bookmarkEnd w:id="102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8708b5-ad0c-4c75-8e8a-2845c81b228a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大资金离场信号（S1）的识别 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164cda-a804-408d-8974-9a1465712bd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S1是关键K的反向形态，表现为高位放量大阴线、大风车线或横盘放量下跌。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0511b9-5451-4f82-acb4-8912f08f61f4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最显著信号为高位放量跌停。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32ee3c-c2df-4a46-937d-2e479dcc55f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若关键K之后出现明显滞涨且连续密集放量，虽未见S1，但也需警惕短期调整。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d7f3ed0-6757-4e7b-9153-5906417be48b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关键K的两种核心意义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fd63b3-bfd9-4dd5-bd68-506d5a7a262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趋势反转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：标志行情方向改变，如平地惊雷式启动、紧急刹车式止跌。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f9dfbc-9d1f-4b88-9425-04309082f88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走势衰竭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f50bffc-5aed-43bf-b98e-41614a3831d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阶段卖盘枯竭：上涨回调中出现明显缩量小K线，预示即将反弹。</w:t>
      </w:r>
      <w:bookmarkEnd w:id="103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15d2685-9736-4966-afb1-cf8ce6d5592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阶段买盘枯竭：拉升阶段出现缩量小阳线，预示上涨动力不足，可能见顶。</w:t>
      </w:r>
      <w:bookmarkEnd w:id="103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e4f33a-8472-4192-838e-97d603200331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小盘股与大盘股关键K的差异 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168604-561c-495f-8e3c-53f1d37d861e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小盘股（100亿以下）易出现单日异动式关键K，可能仅为短期炒作。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df9e47-8bfb-4135-88bb-4ff6c661ae79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大盘股（300亿以上）的关键K更可靠，代表大资金真实意图。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421e27-87d9-47ab-9787-5a15235f287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盘子越小，主力操控空间越大，图形可信度降低。</w:t>
      </w:r>
      <w:bookmarkEnd w:id="103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aa46154-cfde-45cd-9d44-1365afa3494e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关键K的确认与交易策略 </w:t>
      </w:r>
      <w:bookmarkEnd w:id="103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cf5cb8-ea94-4b4e-9721-51ece178e330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多关键K叠加管理下的复杂走势分析 </w:t>
      </w:r>
      <w:bookmarkEnd w:id="103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39cad3-e56c-4244-9c88-8a4ca0ac7c3c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关键K与成本区的关系 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5f4fd4f-c01a-4ada-8ced-5e9239a07b0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震仓点与灾后重建 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b2f909-70f8-4bd2-b7ff-015628aff1a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背离与衰竭信号的结合判断 </w:t>
      </w:r>
      <w:bookmarkEnd w:id="104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d173dd3-5c88-4093-8657-d531df77ed54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实战心态与学习路径建议 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5b9bd6-b472-4efa-86d5-a8a46eceddae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对于量能不足的关键K，不应追高，甚至少量买入也无必要。</w:t>
      </w:r>
      <w:bookmarkEnd w:id="104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c39c5f-2a98-4fb9-afcd-1e41fe5f12a0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应耐心等待：</w:t>
      </w:r>
      <w:bookmarkEnd w:id="104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8dbdb17-b23f-41ca-aa79-cb084210da4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新的关键K出现；</w:t>
      </w:r>
      <w:bookmarkEnd w:id="104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a441a59-159b-400d-87df-b80268d921c6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或B1买点形成（回踩不破+企稳回升）；</w:t>
      </w:r>
      <w:bookmarkEnd w:id="104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f57265-8658-4f4d-8a34-452deac0cbc7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或白线牵牛模式确立（均线系统支撑下的慢牛上升）。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16e935-c0e6-4f30-8c26-b6aeace2f698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当市场存在多个关键K时，形成多空力量交织的局面。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c6d218-8ebb-4f24-9502-40d2d58fe892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股价将在不同关键K的控制区间内窄幅震荡，振幅减小，进入“垃圾时间”。</w:t>
      </w:r>
      <w:bookmarkEnd w:id="105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38a80e-be55-477d-b037-e36ee1c49b0e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此时交易价值极低，只能等待新关键K打破平衡。</w:t>
      </w:r>
      <w:bookmarkEnd w:id="105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75bb98-c55b-42f4-b71c-22affd4c26f3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关键K的实体区域往往对应主力的成本区间。</w:t>
      </w:r>
      <w:bookmarkEnd w:id="105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b30b5a-09cf-4195-a01f-af9f7ba1341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后续股价围绕该区域上下波动，若跌破需观察是否快速收回。</w:t>
      </w:r>
      <w:bookmarkEnd w:id="105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f732136-d4f4-414c-a58a-5a0440d444b3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收回则表明主力仍在掌控，破位则可能开启新趋势。</w:t>
      </w:r>
      <w:bookmarkEnd w:id="105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212911-096c-4d32-89d4-03c3bca3ad29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震仓点常出现在关键K下方，以长下影线或连续小阴线形式洗盘。</w:t>
      </w:r>
      <w:bookmarkEnd w:id="105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51606a6-3f0a-4f69-a6ab-9f1544060035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“灾后重建”指股价跌破黄线（成本线）后，在关键K支撑位企稳并重新组织上涨。</w:t>
      </w:r>
      <w:bookmarkEnd w:id="105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cf9190-58b1-43d2-9ee1-59f31f4d53dd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成功重建的前提是关键K仍具影响力，且未出现S1信号。</w:t>
      </w:r>
      <w:bookmarkEnd w:id="105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a6cb4f-224d-475e-8011-9c7de1b620ba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缩量创新高时，若同时出现MACD红柱缩短、白线背离、黄线背离等多重背离，则为强烈衰竭信号。</w:t>
      </w:r>
      <w:bookmarkEnd w:id="105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9b8322-2442-4784-ba9b-f70c3e741305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此时关键K下沿成为最后防线，一旦跌破应果断离场。</w:t>
      </w:r>
      <w:bookmarkEnd w:id="105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c291e6-0b50-475b-a84a-4e7dffef81e1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初学者应优先掌握趋势反转类关键K（如平地惊雷、紧急刹车），暂可忽略复杂的衰竭信号。</w:t>
      </w:r>
      <w:bookmarkEnd w:id="106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e24c36-5a1f-4782-8a42-0cd4005d89f2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交易目标不是满分，而是稳定盈利。掌握核心方法达到“80分水平”即可畅通无阻。</w:t>
      </w:r>
      <w:bookmarkEnd w:id="106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5fafe9-09cf-43da-b5d1-ea68f05146f0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强调从成功案例中建立信心，享受盈利过程，培养正确的交易直觉。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836d5787bb24d94be722a2da0ae2bc6" w:id="106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2026-05-02T12:56:34Z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9E3iSp9F9aEQG5JoixX5mVNLYYNfdwjAasd8bfEjRu4=","ProduceID":"ai_zongjie:e2762052f0861c1b3f96c57234ac936f","ReservedCode2":"9E3iSp9F9aEQG5JoixX5mVNLYYNfdwjAasd8bfEjRu4=","PropagateID":"ai_zongjie:e2762052f0861c1b3f96c57234ac936f","ContentProducer":"001191440101MA9Y9T4H7A00000"}</vt:lpwstr>
  </property>
</Properties>
</file>