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51b68ca8445f4d5ba58a29e632d46e78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本视频讲述了股票市场技术分析中关键K线、多空博弈及主力行为的判断方法，结合大盘与个股案例解析了防守策略、交易心态及中美金融局势对投资的影响。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51181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e8847bf-3dac-4b8d-8c32-1e88bb4adf05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核心概念：关键K线与多头防守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关键K线是市场重要支撑或压力位的标志性K线，其位置决定后续走势。多头通过层层布防（如黄线上沿）构建坚实支撑，形成“扎实”结构。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44838c2-fe15-4c6b-b8ff-904b3e68616c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关键K线的识别与应用 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abe0253-38fa-4b56-aca5-0e670ee808c8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多头关键K线特征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从某根放量阳线开始，持续缩量回调后再次放量上涨，此区间内K线均受该关键K控制。例如，“机器人”率先涨停，表明多头力量强劲。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eb8ffbd-4457-47c9-8f7d-dcc53033fdd3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防守层级划分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利用关键K划分支撑防线：第一层为最低价支撑；第二层为黄线上沿回踩；第三层及以上为多次确认的密集区。若未跌破，则视为多头掌控局面。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ec1729e-c562-438b-9756-c689ff90aa57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反转信号识别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出现明显长上影线或巨量阴线且跌破黄线，可能为出货或趋势反转信号（A杀）。但需结合历史走势判断，如无加速下跌则不构成有效A杀。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68ff6c6-9209-48e6-9ebc-7fc690936d36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大盘分析：箱体博弈与活跃市值观察 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f9ac8dd-a10b-42ff-a7d8-299dfd2bde10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大盘箱体结构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当前大盘处于特定区间震荡，由关键K线控制上下边界。上方为空头防守线，下方为多头防线，中间区域为多空博弈地带。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722ccfa-ad22-47e4-9134-d93e91602b9d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增量资金博弈逻辑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大盘放量代表多空双方充分交战，不能单凭阴阳线判断强弱。例如龙队卖出百岁山、买回其他标的，当日仍可收阴线，说明情绪与资金流向复杂。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bb2b2d3-689d-49f9-ab61-26bc972c9a91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活跃市值的重要性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活跃市值反映市场延续性。当前“猴一天狗一天”式波动表明缺乏主线，赚钱效应差。应等待连续两日累计涨幅达5%或单日4.5%以上作为变盘点信号。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d4e0b13-058d-4d15-94e1-a7495fef9236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历史走势对照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类比2023年春节后至4月7日行情，当前阶段类似前期高点后的横盘整理期，难有系统性机会，需耐心等待突破。</w:t>
      </w:r>
      <w:bookmarkEnd w:id="101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e1d35d8-21e4-4567-9d8c-148f5e54fe4a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板块轮动与防守策略 </w:t>
      </w:r>
      <w:bookmarkEnd w:id="101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3605091-0c53-459d-9ced-142b909e6348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高切低逻辑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在科技股高位震荡时，转向白酒、券商、猪肉、煤炭等低位板块进行防守，目的非短期暴利，而是降低净值回撤，保住前期收益。</w:t>
      </w:r>
      <w:bookmarkEnd w:id="101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1c662e2-522e-4c36-a68a-45c3085ed85a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防守型标的示例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如“猪猪B1”位于22.63元，现价22.99元，基本持平；而同期创业板指跌6.56%，平均个股跌幅10%-12%，凸显防守价值。</w:t>
      </w:r>
      <w:bookmarkEnd w:id="101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2007bcd-6fd5-4cf6-89e3-1171200e3f14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科技主线与国产替代展望 </w:t>
      </w:r>
      <w:bookmarkEnd w:id="101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9daaf4f-6d3c-4739-912c-b5f5a3c40e85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科技仍是主线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尽管短期调整，但AI、半导体等科技方向因国家战略需求不会结束。未来将进入横盘震荡阶段，等待良机再起。</w:t>
      </w:r>
      <w:bookmarkEnd w:id="101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135b374-4783-4cd0-94c2-f056ff2853f9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产能与良品率瓶颈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高级芯片产能严重不足（月产1万片 vs 需求4万片），N+2制程良品率低于30%，华为升腾亦如此，制约行业发展。</w:t>
      </w:r>
      <w:bookmarkEnd w:id="101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7fb1bac-1f20-4d28-be0d-d81a8ee96b0d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投资逻辑转变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不宜过度关注估值，而应聚焦有先进制程、估值合理的标的。全民努力难以解决根本问题，需依赖少数龙头企业突破。</w:t>
      </w:r>
      <w:bookmarkEnd w:id="101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3b1ca65-3ec9-4b04-8d5a-79e643477b1e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个股分析框架：以小米为例 </w:t>
      </w:r>
      <w:bookmarkEnd w:id="102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f3b28d2-23f8-4cb6-bc18-6c1f3ccb07b1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生态位取代现象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小米汽车成功使雷军取代特斯拉在中国新能源车领域的生态位，成为舆论焦点，任何负面事件都会被放大。</w:t>
      </w:r>
      <w:bookmarkEnd w:id="102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c7cb1b6-afe0-46d9-b654-63d65ab7ef11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社会心理影响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类似当年特斯拉刹车争议引发公众恐慌，小米也面临同样舆论压力，即使实际事故率低也会被热搜化。</w:t>
      </w:r>
      <w:bookmarkEnd w:id="102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b5a0043-fbcf-4488-8341-16218967a69b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产品力评价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苏七操控优于Model Y约20%，舒适度远超Model 3（评分25 vs 120），智能生态和性价比优势显著。</w:t>
      </w:r>
      <w:bookmarkEnd w:id="102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5922285-efec-4bd2-9349-5a40cd96b37f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业绩驱动逻辑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股价支撑来自手机业务稳定现金流及苏七、SU7订单实打实支撑。后续产能提升（目标5-6万台/月）、机器人、AI大模型将提供新故事。</w:t>
      </w:r>
      <w:bookmarkEnd w:id="102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864df79-aa94-432f-9c40-e92981ab88e9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信仰与交易分离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小米属于信仰型投资，不应仅凭技术面操作。技术分析用于解决入场与离场时机，而非决定是否持有。</w:t>
      </w:r>
      <w:bookmarkEnd w:id="102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f161adc-6fd1-40f6-be1a-708811132405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交易哲学与心态管理 </w:t>
      </w:r>
      <w:bookmarkEnd w:id="102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de85db6-8ff5-4a4d-a447-a2217f76dca4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少妇战法启示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成功投资者敢于果断操作（如“少妇”无视绿帽信号直接买入），不受情绪干扰，执行力强。</w:t>
      </w:r>
      <w:bookmarkEnd w:id="102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6f3cb04-56c4-44ec-aaa9-2bcc051fe0d4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避免过度思考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市场变量极多，一旦考虑一个因素会衍生上百个变量，导致无法决策。应简化思维，专注关键信号。</w:t>
      </w:r>
      <w:bookmarkEnd w:id="102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f094948-d010-4a58-847a-c0923b3b451e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睡觉能力考验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十月份最考验“睡觉能力”，即持仓不动的能力。周一周二无需看盘，忍受短期波动，避免情绪化操作。</w:t>
      </w:r>
      <w:bookmarkEnd w:id="102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8361c96-02e9-4dce-93cf-af929cf36645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宏观格局：中美金融战与战略定力 </w:t>
      </w:r>
      <w:bookmarkEnd w:id="103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b5c9a4e-4fc7-47af-a117-faddba155fee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美方牌已出尽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美国对中国施压手段有限，禁止成品油出口、威胁留学生等举措显示其“没牌了”，反衬中国战略主动。</w:t>
      </w:r>
      <w:bookmarkEnd w:id="103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b030c68-d060-4b63-bed9-2691fd496f7f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三大卡脖子工具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中国可用光模块、液冷散热、稀土三大工具反制美国AI发展，形成有效牵制。</w:t>
      </w:r>
      <w:bookmarkEnd w:id="103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7417526-d343-442d-a3f8-9956c5a1bdc5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国家负债对比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美国国家负债率达130%，中国仅为60%，财政空间更大，具备长期竞争优势。</w:t>
      </w:r>
      <w:bookmarkEnd w:id="103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f65bb06-a8a0-4048-a86d-59939b2682c6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战略相持阶段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中美关系进入战略相持期，中国应稳住阵脚，利用时间优势逐步推进产业升级。</w:t>
      </w:r>
      <w:bookmarkEnd w:id="103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9145be1-4ff1-4924-8775-9e7010737ed6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操作纪律与止损原则 </w:t>
      </w:r>
      <w:bookmarkEnd w:id="103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1a9be06-de05-4df1-804b-c6416a85fc48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S1信号处理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明确的波段高点放量阴线即为S1，必须减半仓或清仓。若不认S1，后续下跌至S2甚至更低将更痛苦。</w:t>
      </w:r>
      <w:bookmarkEnd w:id="103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bad8121-66fc-43a9-bd3e-6bcd3f319d95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白线锁仓法则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对于强势股，采用“骑牛战法”：白线上持股，破白线即离场，无需纠结原因。</w:t>
      </w:r>
      <w:bookmarkEnd w:id="103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ca8209b-6ac8-4ff6-bc17-1603203c44e8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黄线止损机制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黄线为生命线，历史上从未有效跌破。一旦收盘破黄线，必须止损退出，避免深套。</w:t>
      </w:r>
      <w:bookmarkEnd w:id="103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174672b-71f5-49a9-a419-5b1650c757b9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未来行情推演与布局顺序 </w:t>
      </w:r>
      <w:bookmarkEnd w:id="103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506e484-e052-4f1f-9e80-124a4c030dba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总结：投资的核心原则 </w:t>
      </w:r>
      <w:bookmarkEnd w:id="104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d6da99f-6a40-4ddc-a0c4-eca2dcbb4927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资源炒作顺序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铜价已涨三倍，电解铝将成为下一个热点。需等待铜完成牛市行情后，资金才会轮动至铝。</w:t>
      </w:r>
      <w:bookmarkEnd w:id="104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10d46e5-18a9-4918-aabf-ef8885542eb8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AI算力底层支撑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最终AI算力扩张离不开电力与电解铝支持，相关企业具备长期逻辑。</w:t>
      </w:r>
      <w:bookmarkEnd w:id="104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3a6c8ef-e1b5-47d5-bac0-bfb49c6dd502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关键K动态跟踪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所有走势最终回归关键K控制范围。若能突破并站稳新高，则继续上行；否则在区间内震荡。</w:t>
      </w:r>
      <w:bookmarkEnd w:id="104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4b10e71-e294-4c12-8ab9-0b848a4b8a7b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维持原有判断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市场仍处“上有顶下有底”格局，11月1日前保持谨慎，稳字当头。</w:t>
      </w:r>
      <w:bookmarkEnd w:id="104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b05fe3e-742a-4092-97df-7976708aa979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战略定力体现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牢记两根线（关键K与黄线）作为战略定力依托，不被短期消息扰动。</w:t>
      </w:r>
      <w:bookmarkEnd w:id="104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bc669c9-4896-4a6f-8d53-8fdd10f548ab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顺序重于择时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记住板块轮动顺序（铜→铝→AI算力），不必急于一时，每个环节都有参与机会。</w:t>
      </w:r>
      <w:bookmarkEnd w:id="104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b053097-b9e9-4083-a2b8-7d8ffa630ab4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心态决定成败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空仓怕踏空、满仓怕下跌、不涨不跌也焦虑，唯有建立系统方法论才能穿越周期。</w:t>
      </w:r>
      <w:bookmarkEnd w:id="104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dc160ca30a0f463daf6cbd92b0f87743" w:id="104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48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2026-05-02T12:56:53Z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2VzpkN+K0Df5PxIo38V8uOMprmFE4QpxBHsRE8AYa4U=","ProduceID":"ai_zongjie:0871945d7070fd65a95b757a50ee9fd8","ReservedCode2":"2VzpkN+K0Df5PxIo38V8uOMprmFE4QpxBHsRE8AYa4U=","PropagateID":"ai_zongjie:0871945d7070fd65a95b757a50ee9fd8","ContentProducer":"001191440101MA9Y9T4H7A00000"}</vt:lpwstr>
  </property>
</Properties>
</file>