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a75e88177fa4def93a5cc529830d57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本视频讲述了股票市场中主力行为、大小票分时走势关系及关键K线的实战分析，结合具体案例解析了高位放量、底部吸筹、黄白线分化等现象背后的逻辑，并通过模拟测试强化买卖点判断技巧。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048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908e4e2bbe042faaaaa34da93998c62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668ae8bbf3e48389d67e8447ffce897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学习经历与感谢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69e15a2-0bc5-47da-b180-6d89b9a3138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个人学习历程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从观看Z哥24年直播开始接触“大富翁”投资理念，通过自学09年以来知名股票的K线图寻找规律，研究超一千家上市公司。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44bd3a-c66d-437d-b80b-c40b55fa55f1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认知深化过程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六月起参加充电直播后，对前期所学内容理解更加深入。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97ad76-f19b-4be1-a61a-8848dc6c82cd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成果与信心提升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自六月起收益率波动显著降低，尽管近期行情折磨人，但积累了宝贵经验，对未来操作充满信心。</w:t>
      </w:r>
      <w:bookmarkEnd w:id="100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07def3965ad44c7b9359e164de762bf" w:id="1008"/>
      <w:bookmarkEnd w:id="10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a5fa2e04989423c9ceb47bd57c5af34" w:id="10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问题一：高位放量跌停为何仍有接盘？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a3eba4-ff0e-4d6a-8380-ef8cf3207147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核心问题提出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某些股票在高位出现放量跌停，按理应是主力出货，但为何仍存在大量买盘形成“长影长柱”？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fee4235-0815-4805-9da5-f38a92463569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三种主要原因分析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9381e47-5d6b-4bca-be00-2f7e2925fb8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市场热度发酵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票据因自媒体传播迅速升温，如抖音、百度指数连续翻倍增长，导致开盘即涌入巨量买单，类似“博傻”行为（如光线传媒220亿成交）。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8cdfd4-be85-412a-8b47-47377adc03b9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外盘主动承接带来出货机会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主力原计划在该位置出货，但意外出现大量外部买盘，于是顺势压价慢卖，实现平稳出货。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c8745ce-daee-40fa-ba30-a55b5a9b62af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量化模型趋势交易推动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趋势型量化程序在突破或连板时自动买入，系统化下单直接推高成交量，为主力提供流动性支持。</w:t>
      </w:r>
      <w:bookmarkEnd w:id="101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814de8b41bb463b936150b985f951a3" w:id="1015"/>
      <w:bookmarkEnd w:id="101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1a9c31b15f4409ca84f2a620e963da9" w:id="101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问题二：底部放大量如何收集筹码？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e60a045-2a61-42e8-89db-4a8896dd5df2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背景设定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在上方有大量套牢盘的情况下，为何底部能放出巨量，让主力完成筹码搜集？</w:t>
      </w:r>
      <w:bookmarkEnd w:id="101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476e9f4-61b3-47c0-a484-04eb85a2203a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散户心理与筹码交换机制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836006e-557c-4c36-8fc6-4b4a5bc4ffc2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套牢投资者经历多次反弹未解套后，在低位反弹至成本区时选择卖出。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b031e4e-6163-483f-8841-a18a6b51ce20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连续下跌后缩量表明多数人已“锁仓”，一旦涨停出现，补仓者增多，成本逐渐接近解套价位。</w:t>
      </w:r>
      <w:bookmarkEnd w:id="102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17b713-2de2-4b97-b77c-1862180a8645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不同层级的套牢盘在此区域完成筹码转移。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233223-8b00-4333-af25-f937929a3f6a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涨停板作为价格约定机制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b2d3062-0114-47d5-9cc3-539311898c7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涨停价成为买卖双方的价格共识，相当于“挂牌交易”。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1f8299a-5340-48c5-b4cb-c873c22ec84c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大资金以涨停价挂出巨额买单，吸引长期被套机构抛售，因其终于找到对手盘。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555fb0-bd8b-4ad7-b3be-e6306c39114e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若无此大单，机构无法在低位顺利出货，否则会自行砸盘。</w:t>
      </w:r>
      <w:bookmarkEnd w:id="102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d3be1f-81a6-45c4-a9b5-2ea9818a0902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结论总结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底部涨停的本质是新资金入场，将原有分散筹码集中收归己有。</w:t>
      </w:r>
      <w:bookmarkEnd w:id="102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f741415e53e4048b291c3927c1f246b" w:id="1027"/>
      <w:bookmarkEnd w:id="102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32e5c9810094c009fea78e761c8d5c9" w:id="102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问题三：分时黄白线分叉背后的逻辑 </w:t>
      </w:r>
      <w:bookmarkEnd w:id="102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7ad19b0-e5ff-4da9-aa38-51f3b89fc977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现象描述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个股分时走势有时跟随大盘（黄白线重合），有时出现明显分叉（如小票强、大票弱）。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ea9242f-ae70-4ba3-b076-3a67d12d350e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历史背景：28轮动现象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此类切换早在十几年前就存在，称为“28轮动”，源于不同资金群体的操作偏好。</w:t>
      </w:r>
      <w:bookmarkEnd w:id="103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d9b87f-5c3c-4439-9d42-9627fce2d689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两类操盘主体及其势力范围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74ef4f9-d297-436d-b8f8-68bdd1fc7deb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白线（权重股）由大型机构主导（如国家队、公募、保险）。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59c9182-2281-4500-8fff-806df9f30239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黄线（中小创）由游资、私募及地方性资本运作。</w:t>
      </w:r>
      <w:bookmarkEnd w:id="103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0d18cf-1472-414c-a626-8b9e3e1595be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双方互不越界：大资金难以进出小市值股票，小资金也不参与千亿级大盘股。</w:t>
      </w:r>
      <w:bookmarkEnd w:id="103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0bcdd3-bc4d-4764-9675-b2133453d052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流动性共享与默契让路机制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7935aa-ddc1-48dd-8f77-dafd921cb25a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市场总资金有限，当一方主导行情时，另一方通常“让路”。</w:t>
      </w:r>
      <w:bookmarkEnd w:id="103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c8a5bc-2206-409b-a12e-ae16c4905f54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如宁德时代、中石油涨停带动白线上行时，黄线资金主动回避。</w:t>
      </w:r>
      <w:bookmarkEnd w:id="103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c381e4-4008-44f8-aec5-703915816ccc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反之，当大票调整释放流动性，小票获得活跃空间。</w:t>
      </w:r>
      <w:bookmarkEnd w:id="103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4c05396-99b6-415e-b2bd-0f8f947cdf51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同步涨跌的深层含义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533f74-b584-48f6-b61f-242b48fc1684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同步上涨：市场整体流动性充裕，大小资金共同做多。</w:t>
      </w:r>
      <w:bookmarkEnd w:id="104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a382e1-0511-4230-b9d7-723dc5fa71cf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同步下跌：各方争相出货，导致“谁都出不去”，随后易引发反弹。</w:t>
      </w:r>
      <w:bookmarkEnd w:id="104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dbd6a22-4527-4fea-9507-55bce0d6f9f3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黄白线位置预示主被动方向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bbe6e82-2995-45f8-8c1a-7e9f11632f3c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黄线在上，白线在下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：大概率为主动进货阶段。</w:t>
      </w:r>
      <w:bookmarkEnd w:id="104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57a1fa3-c189-45bc-b4e6-d3d0c1f3b450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白线在上，黄线在下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：常为大票掩护小票出货（尤其在高位）。</w:t>
      </w:r>
      <w:bookmarkEnd w:id="104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25c171-6ee3-4c42-9c26-2c69419bc71a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实战判断方法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04312e-de3c-446c-af1c-57b2df470b23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观察早盘9:37前后黄白线相对位置，可初步判断当日主力意图。</w:t>
      </w:r>
      <w:bookmarkEnd w:id="104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a9b1c55-2369-4051-bdf4-5f59b7a216ef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关键在于理解“谁主导、谁让路”的流动性博弈逻辑。</w:t>
      </w:r>
      <w:bookmarkEnd w:id="104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be101987104462ca3b5a9e736c89672" w:id="1048"/>
      <w:bookmarkEnd w:id="104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69abc09251544e59202a629ac3de8d0" w:id="104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关键K线的识别与意义 </w:t>
      </w:r>
      <w:bookmarkEnd w:id="104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2454b1-7efe-4ef7-841b-6fcb126b0674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关键K线定义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指某只股票在重要底部位置出现的放量阳线，代表大资金建仓起点。</w:t>
      </w:r>
      <w:bookmarkEnd w:id="105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c2e0ad-492c-476b-a394-5bb34bb7d98c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典型特征与作用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af532c9-4c8b-43c1-a1c3-484462ae85f9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成为后续行情的重要支撑位，一般不会再次跌破。</w:t>
      </w:r>
      <w:bookmarkEnd w:id="105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5fdd274-aafe-4c8a-9d25-2a87bf33e2b4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标志新进机构（如险资、地方财政队）的建仓成本区。</w:t>
      </w:r>
      <w:bookmarkEnd w:id="105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a8de93-1c33-40f4-b03e-c1db89756191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回踩关键K线时往往引发二次拉升。</w:t>
      </w:r>
      <w:bookmarkEnd w:id="105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5fdbf4-6b6c-4248-8fc3-fd95521175d4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多个案例验证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e5736a-47c1-449a-8ab2-205915cfc90a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杭州银行、邮储银行、农业银行、新华保险等均出现类似形态。</w:t>
      </w:r>
      <w:bookmarkEnd w:id="105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d78ad15-1139-4b00-9d97-999dbc41d18a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手法一致：突兀放量、底部确立、后续不破低点。</w:t>
      </w:r>
      <w:bookmarkEnd w:id="105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0badc2a-2751-407a-8149-d8e88e810e45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阳谋式操作逻辑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da7a20-44ef-4ff5-91a5-36cfc5432811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大机构入场无需掩饰，直接买入形成关键K线。</w:t>
      </w:r>
      <w:bookmarkEnd w:id="105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1661a2-3ad7-46a1-a48f-6705728806b7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领导指令明确：“在这位置买进去”，持续加码直至目标达成。</w:t>
      </w:r>
      <w:bookmarkEnd w:id="106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1bc2e0e-da6c-474b-a2fc-a4cf8b9efa0c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缩量后继续提价买入，体现坚定做多意图。</w:t>
      </w:r>
      <w:bookmarkEnd w:id="106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0d93ad402254a36a07b2ceeaa2ee10a" w:id="1062"/>
      <w:bookmarkEnd w:id="106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0e7e7347ea14760b94b2bd1b0e271bd" w:id="106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第一部分测试：买点判断（每题2分）</w:t>
      </w:r>
      <w:bookmarkEnd w:id="106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eb6fe0f-b842-4b84-a3d0-831b4bd431fa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测试目的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巩固基础买点知识，强化技术图形识别能力。</w:t>
      </w:r>
      <w:bookmarkEnd w:id="106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fb465a-74c7-4af1-b15f-7b3a3e6e1f6a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十道买点题目解析</w:t>
      </w:r>
      <w:bookmarkEnd w:id="106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66ec976-f115-4304-b869-6bc1f38e4f91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：处于下跌趋势横盘震荡，白线与股价均在黄线下方，不买。</w:t>
      </w:r>
      <w:bookmarkEnd w:id="106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bd482f-134c-47f4-9331-a2c333c3ede9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：两阳夹两阴缩量后放量突破，符合B2买点标准，买。</w:t>
      </w:r>
      <w:bookmarkEnd w:id="106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9b9db3-1a75-4778-ae9b-116f0db31d1e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：标准B2形态，双阳夹缩量阴线，买。</w:t>
      </w:r>
      <w:bookmarkEnd w:id="106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3b4cfdc-53e8-4b42-89c7-06c2794e417b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第四题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：白线在黄线上方，顶部无量回调后启动B2，买。</w:t>
      </w:r>
      <w:bookmarkEnd w:id="106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d375f19-ad47-4317-96bf-d56374d92439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第五题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：出现“绿帽”长上影线，显示上方压力巨大，不买。</w:t>
      </w:r>
      <w:bookmarkEnd w:id="107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20d41a6-eff3-4507-a400-309eaa0b7a34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第六题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：白线在黄线上，股价短暂破黄线后形成“长阴短柱”，属灾后重建形态，买。</w:t>
      </w:r>
      <w:bookmarkEnd w:id="107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e9fa62-b4cb-4618-8486-f71f14a53201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第七题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：金叉后首次回踩黄线，缩量企稳，极具价值，买。</w:t>
      </w:r>
      <w:bookmarkEnd w:id="107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4f180d-9a3a-4644-81ad-bfcb47b3057e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第八题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：白线在黄线上，首次回踩黄线且缩量，同时出现B1信号，买。</w:t>
      </w:r>
      <w:bookmarkEnd w:id="107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90407a-d291-4e9a-b737-ac2b016da68f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第九题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：标准B1形态，白线勾头向上，贴近黄线，买。</w:t>
      </w:r>
      <w:bookmarkEnd w:id="107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8f1b70-d0e7-480b-81ef-1084a290c757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第十题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：同第九题，强调金叉后首次回踩黄线的高确定性，买。</w:t>
      </w:r>
      <w:bookmarkEnd w:id="107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29c036-e82e-4248-bcce-b41027551fb7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评分标准说明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理论满分18分（允许一道超纲题错误），全对20分。</w:t>
      </w:r>
      <w:bookmarkEnd w:id="107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1d709298b014294ba2589569cb5170c" w:id="1077"/>
      <w:bookmarkEnd w:id="107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6884bc2f8114d3ab0c7f6b338d2b982" w:id="107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第二部分测试：卖点判断（每题4分）</w:t>
      </w:r>
      <w:bookmarkEnd w:id="107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2fdd634-5f3c-48ea-b9d5-125469ddfe38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测试重点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强调清仓决策的重要性，远胜于买入时机。</w:t>
      </w:r>
      <w:bookmarkEnd w:id="107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ecf6c97-c41b-4ec4-93bc-660ed4df38e6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十道卖点题目解析</w:t>
      </w:r>
      <w:bookmarkEnd w:id="108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b3fb4f-eba2-4ca1-9681-40f6592b9c6f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：标准S1形态，顶部放天量，必须卖出，送分题。</w:t>
      </w:r>
      <w:bookmarkEnd w:id="108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c461b51-9421-4afe-be0d-d6616a1acd1a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：缩量长阴短柱，属于正常洗盘，持有不动，不卖。</w:t>
      </w:r>
      <w:bookmarkEnd w:id="108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6a20e5d-c04f-47ff-a3a0-5961f98d40dc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：上涨途中缩量回调，未破白线，仅为持股过程中的正常波动，不卖。</w:t>
      </w:r>
      <w:bookmarkEnd w:id="108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ee8d1c-69a5-4a06-9b53-0f7472508c4d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第四题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：未放巨量，不属于顶部天量出货，不卖。</w:t>
      </w:r>
      <w:bookmarkEnd w:id="108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4f9284-4f1b-4136-ae66-83251b53a047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第五题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：加速前突然放天量下跌，形成“大风车”，必须立即卖出。</w:t>
      </w:r>
      <w:bookmarkEnd w:id="108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dc544e0-be21-4761-b62e-bee32d636d37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第六题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：出现“天地双针”+缩量上涨组合，为典型危险信号（如爱博医疗案例），必须卖出。</w:t>
      </w:r>
      <w:bookmarkEnd w:id="108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f8eebc-8125-4fa2-a3f6-f7fb62da3818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第七题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：跌破黄线后次日未能收回，右侧交易者应果断离场，避免深度回撤。</w:t>
      </w:r>
      <w:bookmarkEnd w:id="108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b05244-2aad-435a-8f84-9ab89be47873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第八题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：虽有长阴，但未放天量，且位于关键K线上方，应保留部分筹码等待反弹。</w:t>
      </w:r>
      <w:bookmarkEnd w:id="108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e741e68-4e82-40d4-a369-2ca4d8dc4e57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第九题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：顶部无量长阴短柱，黄线支撑完好，不可在起涨点卖出。</w:t>
      </w:r>
      <w:bookmarkEnd w:id="108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289c338-b3a1-40d7-be96-5dc65785d656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第十题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：综合型复杂案例，核心在于识别“顶部无量”、“长阴短柱”、“首次破黄线需观察”三大原则，最终结论为暂不卖出；得分点在于对中间转折点的正确判断。</w:t>
      </w:r>
      <w:bookmarkEnd w:id="109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0f9d8844c504ac78dfb2d06c1dfd7e2" w:id="1091"/>
      <w:bookmarkEnd w:id="109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202f95f685042a28c10fb5674c3186c" w:id="109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总结与纪律要求 </w:t>
      </w:r>
      <w:bookmarkEnd w:id="1092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912eda-c8be-401c-87c7-642faf46d96a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测试目的重申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通过考试形式增强参与感与记忆深度，非单纯评分。</w:t>
      </w:r>
      <w:bookmarkEnd w:id="109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27b4be8-f7da-40f5-b144-ab1784c9b559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合格标准设定</w:t>
      </w:r>
      <w:bookmarkEnd w:id="1094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b927f9a-ffc2-4404-90f4-224ab45ce32d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第一部分：20分中至少得18分（买点准确）。</w:t>
      </w:r>
      <w:bookmarkEnd w:id="109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46599f-9dfc-4b57-8f72-1a762b3149f8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第二部分：40分中至少得32分（卖点果断）。</w:t>
      </w:r>
      <w:bookmarkEnd w:id="109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e74466f-89d2-4967-b0c6-e793d09185f0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总分60分中50分为及格线。</w:t>
      </w:r>
      <w:bookmarkEnd w:id="109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6c920a0-f751-4553-a61e-5bda21057cae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操作纪律警示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98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f7e0c05-2e6c-44db-bce2-07d7894757ed" w:id="109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未达32分者禁止加大仓位或引入大额资金。</w:t>
      </w:r>
      <w:bookmarkEnd w:id="109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6a5648-85ba-4f37-a200-2f2f2e6b2d05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市场生存需“知行合一”，犹豫不决将导致亏损。</w:t>
      </w:r>
      <w:bookmarkEnd w:id="110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5bb86f-b6d6-4761-b113-83694e6a6fd2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强调“宁可错失，不可做错”，果断执行交易纪律。</w:t>
      </w:r>
      <w:bookmarkEnd w:id="110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012840a041d4ae997b382e73c47d458" w:id="110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02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2026-05-02T17:32:58Z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QVJzQ73gCPPXOq6lYJbSXHL/LlVS464PUnBnQAkEb0=","ProduceID":"ai_zongjie:37a9ea3a48fd7c1ca36903348e8e9cc3","ReservedCode2":"nQVJzQ73gCPPXOq6lYJbSXHL/LlVS464PUnBnQAkEb0=","PropagateID":"ai_zongjie:37a9ea3a48fd7c1ca36903348e8e9cc3","ContentProducer":"001191440101MA9Y9T4H7A00000"}</vt:lpwstr>
  </property>
</Properties>
</file>