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e359de9fdea4301b4caf538b7c5475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投资中买点与卖点的判断逻辑及实战训练，重点强调在浮盈足够时应坚定持有，依据关键K线、白线（牵牛绳）、黄线止损等技术指标进行决策，并通过多道综合题演练了不同市场情境下的操作策略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524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4bfa018-ce92-4679-8061-362fe1e9257b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考试结构与评分标准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545cc69-a253-409a-a484-260bbf822204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基础部分60分，及格线为50分；综合题4道，每道10分，共40分，总分100分。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9ef0f7-d08d-42e7-b756-664fe07d782b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综合题考察“买不买”和“卖不卖”两个决策点，各占5分。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62642f-9121-47c4-bbe8-bc1075614d89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最终满分180分，80分为及格线，具备进入实战的基本认知。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3dd4baa-4548-4ee7-b578-4de9e93069c8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综合题解题逻辑与案例解析 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28be650-114f-44fc-89d3-e17233043bbe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第一道练习题：特锐德类比图分析 </w:t>
      </w:r>
      <w:bookmarkEnd w:id="100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52f4e46-2297-4091-be99-244f1258a28d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图中出现第一买点，位于关键K控制范围内，黄线下方缩量回调，性价比高，应买入。</w:t>
      </w:r>
      <w:bookmarkEnd w:id="100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a5943a9-c591-449a-8950-d932d3c43468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后续走势连续上涨，虽有20%长上影线，但因未破白线且为主力控盘特征，不应卖出。</w:t>
      </w:r>
      <w:bookmarkEnd w:id="101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2995534-4c7e-41b7-bed5-a475310eecfe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关键原则：涨停、封板或阳线不卖；缩量下跌不卖；浮盈充足时敢于持有。</w:t>
      </w:r>
      <w:bookmarkEnd w:id="101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ce7e80f-42dd-49a2-a55a-a46a9ea17361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卖出信号：出现放天量阴线（S1）或跌破白线（牵牛绳）。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3f4753f-09d5-4093-ae8f-89c8fb2d1976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第一道真题解析 </w:t>
      </w:r>
      <w:bookmarkEnd w:id="101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853faea-d546-4aa9-9a20-c23d96a63a55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买点判断：黄线处缩量回踩，止损幅度小，应果断买入。</w:t>
      </w:r>
      <w:bookmarkEnd w:id="101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760527b-0e88-4210-bb10-26b2c5b19ec0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持有阶段：连续阳线中首次缩量不卖，白线压制减弱时不卖。</w:t>
      </w:r>
      <w:bookmarkEnd w:id="101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3b8b833-81d3-4966-bef9-5f31bc08137a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卖出判断：当阳线成交量超过此前所有阳线总量，形成标准S1时，必须卖出，即使卖错也要执行。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3a5178-c883-40d0-8252-1f2e7a07f9ae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第二道真题解析 </w:t>
      </w:r>
      <w:bookmarkEnd w:id="101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82c6eb9-355c-4d9f-946b-c455ad629c4a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买点判断：白线附近极致缩量，属于完美买点图形，必须买入。</w:t>
      </w:r>
      <w:bookmarkEnd w:id="101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f3a65b1-fdaf-4c25-91fe-a94f46a1e8cc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持有阶段：市场整体大跌7%时仍缩量调整，不破白线则坚决持有。</w:t>
      </w:r>
      <w:bookmarkEnd w:id="101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0427560-2731-4b45-b4ab-f9e2045bacb5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核心逻辑：长阳之后看阴线，顶部无量属吓唬，不破关键位不动摇。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0a80354-eb57-4ce1-b823-ae03e56f48cc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第三道真题解析 </w:t>
      </w:r>
      <w:bookmarkEnd w:id="102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ea8a99a-c4ed-442f-9806-d624798177bd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买点判断：黄线缩量回踩，符合轮动买入条件，应买入。</w:t>
      </w:r>
      <w:bookmarkEnd w:id="102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6df8c68-a2a8-463e-9bcc-253215a5f00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持有阶段：关键K内运行、缩量回调均不构成卖出理由。</w:t>
      </w:r>
      <w:bookmarkEnd w:id="102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3abdeb5-f217-452c-8c87-2f65da84606a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卖出判断：当局部高点出现明显放量阴线，对比前期量堆已呈“鹤立鸡群”之势，60%倾向卖出，40%可持有观察。若后续反包失败则确认离场。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e8813e5-7a6c-4b22-8cae-7a466daab95c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第四道真题解析 </w:t>
      </w:r>
      <w:bookmarkEnd w:id="102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3826744-a453-424c-9322-ffecbbf86f1b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买点判断：大幅值后缩量回调至黄线，放量上涨确立趋势，是智力题级别买点，必须买入。</w:t>
      </w:r>
      <w:bookmarkEnd w:id="102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8de437b-1d2d-4f24-954d-0f2d446f8a59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持有阶段：MACD死叉、利润回吐至亏损均非卖出理由，只要未破黄线（89.58）即可持有。</w:t>
      </w:r>
      <w:bookmarkEnd w:id="102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17ee27d-91f5-4b48-86d9-a110afb68022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卖出判断：若连续阴跌导致亏损达6%-7%，且跌破黄线，则次日未收回即清仓。最终该股反弹超30%，验证坚持纪律的重要性。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e35009f-c614-4e92-805c-2232a0da31fa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交易策略总结与纪律要求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76fe84f-b471-4d92-a529-d0d3e4bf30bd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持有期间绝大部分时间为“垃圾时间”，无需频繁操作，仅关注关键阴线或突破信号。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836cf4-0e00-40e3-9681-53fdf4230b60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卖出仅两种情形：</w:t>
      </w:r>
      <w:bookmarkEnd w:id="103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出现S1放量大阴线，必须卖出。</w:t>
      </w:r>
      <w:bookmarkEnd w:id="103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长期横盘后跌破白线，全部清仓。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a0e3503-d10d-4b1b-b12a-1280132665c4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任何中间缩量跌停、十字星、反包等均视为洗盘，应坚定持有。</w:t>
      </w:r>
      <w:bookmarkEnd w:id="103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57c9973-0f75-4b8f-8a9a-1f214e22150c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实战心理建设与风险控制 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261b65-a5ad-420e-b253-2acf7af31d5d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投资需勇气与纪律，怕就会输一辈子。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668d4d4-981c-42d1-a237-dcf6d400c1d4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止损设置在黄线，几块钱的波动应能承受，“跟主力拼了”是必要心态。</w:t>
      </w:r>
      <w:bookmarkEnd w:id="103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fcc58b-7b25-425c-ae72-c92263ab3aa4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允许试错成本：单票亏损5%以内可接受，十次尝试中两次成功即可盈利。</w:t>
      </w:r>
      <w:bookmarkEnd w:id="103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336c157-ed85-44dc-900a-cccc909558c9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当前市场环境与板块复盘 </w:t>
      </w:r>
      <w:bookmarkEnd w:id="103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bf610c5-9273-4756-810b-3fedc6db83fc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活跃市值处于空头趋势，整体市场无赚钱效应，建议管住手，谨慎开仓。</w:t>
      </w:r>
      <w:bookmarkEnd w:id="104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937e71-949a-48ad-9534-95cd606ec66f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曼城阵容调整：</w:t>
      </w:r>
      <w:bookmarkEnd w:id="104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7ad8cb8-fc68-4492-9aa4-07664bf1b90a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白酒、煤炭作为防守型配置，表现抗跌。</w:t>
      </w:r>
      <w:bookmarkEnd w:id="104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9245de0-8197-4318-a291-2d941ce3c77f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特高压为近期主线，已有收益者可继续持有。</w:t>
      </w:r>
      <w:bookmarkEnd w:id="104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4f6ce15-7b96-497a-b5f6-55bdff7228ce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科技类（半导体、创新药、AIGC）暂无确定性机会，不参与。</w:t>
      </w:r>
      <w:bookmarkEnd w:id="104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f66abf6-8cfc-42dc-853a-97886dec1127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赛赛回调超预期，明日若不能重返黄线上方则卖出。</w:t>
      </w:r>
      <w:bookmarkEnd w:id="104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9c77dae-290c-4ec0-ba52-4b3d231537e7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有色板块回调属预期之内，铜、黄金出现企稳迹象，可观察后续走势。</w:t>
      </w:r>
      <w:bookmarkEnd w:id="104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311c156-28c4-4c10-a3ac-764a26967433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最终考核标准与行动指南 </w:t>
      </w:r>
      <w:bookmarkEnd w:id="104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da39155-5de3-462b-9986-ccd2c3802cae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四道综合题满分为40分，30分为及格。</w:t>
      </w:r>
      <w:bookmarkEnd w:id="104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dd81433-627c-455d-ad52-296eb98d422b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总成绩80分以上者方可进入实战，低于80分者视为“一抛吸”，不具备盈利能力。</w:t>
      </w:r>
      <w:bookmarkEnd w:id="104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3dec18-feca-4b1e-8fca-bfd777100c2d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实战中预期再打五折，因盘中噪音、情绪干扰等因素影响执行力。</w:t>
      </w:r>
      <w:bookmarkEnd w:id="105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cced1d-6ee8-4e72-bc3c-f917b380d14a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反复回看本期考试内容，对照自身历史交易复盘，纠正错误，建立正确交易框架。</w:t>
      </w:r>
      <w:bookmarkEnd w:id="105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27c2a11ef5c479ab4b82b5e4f3f11c4" w:id="105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2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2026-05-02T17:34:58Z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0RfDk0ssQMDK5sBrnmQeFNQdf3NgPB7LShMMM+doDZk=","ProduceID":"ai_zongjie:86d91e60a3abeb1d6244454a21c42810","ReservedCode2":"0RfDk0ssQMDK5sBrnmQeFNQdf3NgPB7LShMMM+doDZk=","PropagateID":"ai_zongjie:86d91e60a3abeb1d6244454a21c42810","ContentProducer":"001191440101MA9Y9T4H7A00000"}</vt:lpwstr>
  </property>
</Properties>
</file>