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28b4c40f92a4b9bb42193cad983c45a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本视频讲述了股票市场中量价关系的核心逻辑与实战应用，重点解析了放量、倍量、天量等成交量形态在判断趋势、主力行为及买卖时机中的关键作用，并结合具体案例强调了尊重盘面、遵守纪律的重要性。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086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d693e2e22c64cd0a238048fd72ad2d0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50589b059944b668b99628037473ff1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引言：市场心态与游戏体验的类比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e0fd8a-f446-4e08-9e65-e99b8aeefe7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玩家位置与装备差异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比喻市场中不同投资者入场时间与持仓状态的差异，早入场者已“六神装”，而后入场者处于劣势。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d7e415-69da-45ff-b67c-784af995110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情绪管理与市场认知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强调不要因个人亏损而抱怨大盘，指出当前市场环境已是“好日子”，远优于历史上的千股跌停时期。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e6f5ad539ff4a16931317150f55531a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49d473e871b40d5b40dcff51a6e09f2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风险警示与投资原则回顾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cf992a-3aa1-4065-8d3a-3e75a3169d33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A股市场的非理性特征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A股不讲道理，存在随意停牌、公告滞后等问题，如海光、中科、中国中冶等案例显示主力提前反应负面信息。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a75fce-0f11-4dce-89d7-7b241029989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尊重盘面而非感情用事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投资者不应对个股产生情感依赖，必须尊重技术图形所反映的真实资金动向。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5a7acec-6c38-4176-bcf3-37901b6477d5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止损与盈利保护纪律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严格执行止损；盈利票不可做成亏损，避免重蹈“中国中冶”式悲剧。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72360f7cf3542bf863df13606ba370e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380a9cbb8e941008f9a38052afdb35f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低波红利策略的本质与执行 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869c15-6c75-4941-a5df-91b13292a72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配置逻辑：选择更规范的市场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推荐配置港股红利、美债R1等相对法治化市场的资产，规避A股的制度性风险。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4b42bc-5a16-4135-b597-4491892ba65e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低波红利的投资哲学</w:t>
      </w:r>
      <w:bookmarkEnd w:id="101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4d31a7-4884-4288-a18b-26c0a32fca6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该策略非交易型标的，而是长期定投工具。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a25419-59bd-412f-896d-dd8a573253e8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核心操作是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周线B1定投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，无视中间波动。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1deca1-d626-406e-a895-827413a1302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其背后是社保、险资、国家队等“不能输的钱”在运作。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05de84-4185-49d8-9126-5dabcffe591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心理建设要求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若无法承受正常回撤（如4月7日大跌），则不适合参与此策略，建议销户。</w:t>
      </w:r>
      <w:bookmarkEnd w:id="101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9921414308e4b218404837d2eb1a3a8" w:id="1020"/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e295d26b5f3415c95f04f36885891a1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正式主题引入：量价关系的基础地位 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10c150-bf68-4d50-8ecb-43e4dd3d51d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知识体系构建顺序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教学路径为：K线规则 → K线组合 → N型结构 → 量价关系。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13f185-3e84-41e5-a6e4-7b7ae4bac83e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N型结构复习</w:t>
      </w:r>
      <w:bookmarkEnd w:id="102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b44d1c-00cc-4fa0-9b01-0c40fec755dc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上涨趋势：高点更高，低点更高。</w:t>
      </w:r>
      <w:bookmarkEnd w:id="102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b96276-b2e3-4bd2-948a-b530afd2455d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 ≠ 下跌，只要未破前低即为健康调整。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e40df2-1113-4570-847c-fadfba89983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崩盘下跌：低点低于前低，反弹高点低于前高。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2196804a2fd4005bdfa497bab9998cf" w:id="1027"/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b5792e01331435fbd81abc2cd9f302b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成交量基础概念解析 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cd8dd9-8c9b-474e-8937-18afa274b35c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什么是放量？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当日成交量高于前一日即为放量。</w:t>
      </w:r>
      <w:bookmarkEnd w:id="102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5d5a75-40c7-4f96-8909-2cd06b6e7006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放量的分类与意义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c9ebfc-3e22-43ec-923e-de8ceed71964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一般放量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：意义不大，无明确趋势指向。</w:t>
      </w:r>
      <w:bookmarkEnd w:id="103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d25da9-1d59-4f81-b848-a64d54c420a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：当日成交量 ≥ 前一日2倍，代表增量资金入场，意义重大。</w:t>
      </w:r>
      <w:bookmarkEnd w:id="103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726052-0093-40be-9257-93bc369a3caa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天量/巨量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：极端放量，通常出现在阶段性顶部或加速段。</w:t>
      </w:r>
      <w:bookmarkEnd w:id="103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fef811-4fb6-45b2-ba58-bd2a5a647e90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量价齐升的真实性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放量上涨表明真实买入行为，缩量上涨需警惕虚假异动。</w:t>
      </w:r>
      <w:bookmarkEnd w:id="103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b85c99c8dcf43b6bbbb24542889ff18" w:id="1035"/>
      <w:bookmarkEnd w:id="103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550b138982548968719c6476ab6824e" w:id="103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量价关系核心法则详解 </w:t>
      </w:r>
      <w:bookmarkEnd w:id="103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8efe53-4278-40a8-9ef2-b030c7b1571a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上涨过程中的量能分析更有价值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下跌无需看量，任何放量或缩量下跌均视为真实卖出。</w:t>
      </w:r>
      <w:bookmarkEnd w:id="103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fd2a57-1e17-45ff-be19-e88adad5249b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缩量上涨 vs 缩量下跌</w:t>
      </w:r>
      <w:bookmarkEnd w:id="103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cbd097-4309-43b1-b807-a195aaa426e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缩量上涨：可能为主力控盘或缺乏对手盘，上涨不真实。</w:t>
      </w:r>
      <w:bookmarkEnd w:id="103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4802f2-7ea3-44d0-9603-a98246d6cfd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缩量下跌：等同于放量下跌，均为真实抛售。</w:t>
      </w:r>
      <w:bookmarkEnd w:id="104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d2da2e-ae9c-407a-8ce8-e4171daf6b43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大幅放量的定义与应用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倍量以内但显著高于前期平均量能，可视为有效信号。</w:t>
      </w:r>
      <w:bookmarkEnd w:id="104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ea7875554bc414c990d93e0b8301709" w:id="1042"/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fddf5adfecf4604926b36a935692ddd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实战案例解析：神剑股份与瑞塔科技 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37d20a-d530-4190-aee6-49d762c0d045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倍量柱作为关键观察点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底部连续缩量后的首次倍量，视为主力介入信号（“大哥来了”）。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061fa1-6c7e-41af-97dd-1618d5a431fa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倍量之后再倍量 = 天亮预警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连续倍量代表资金加速进场，但也预示短期见顶风险，应警惕不再追高。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0b0ff1-6f2e-42be-b484-ba2397401968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三门重炮模式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连续三个倍量柱配合阳线，构成强烈买入信号，代表主力真实建仓。</w:t>
      </w:r>
      <w:bookmarkEnd w:id="104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6d91a5-d159-4991-9e81-f27b56e2b9c7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平量意味着趋势延续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成交量持平但仍维持高位，说明趋势健康，未现出货迹象。</w:t>
      </w:r>
      <w:bookmarkEnd w:id="104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ef71e9-1659-4669-a29b-b005b5edde38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长阴短柱的应用场景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仅适用于上涨趋势中的回调阶段，表示洗盘充分，后续仍有上升空间。</w:t>
      </w:r>
      <w:bookmarkEnd w:id="104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95fdb3a92214631ae7a05eced78c4e6" w:id="1049"/>
      <w:bookmarkEnd w:id="104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b2fd48937994f9ab4d5d421281f4c82" w:id="105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主力行为识别与震仓判断 </w:t>
      </w:r>
      <w:bookmarkEnd w:id="105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bfec80-3eff-4cdc-b64d-975eaff511c9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如何区分震仓与出货？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对比前期放量阳线面积与快速杀跌阴线面积：</w:t>
      </w:r>
      <w:bookmarkEnd w:id="105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2853d4-499e-459d-a985-415e2cd66f39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若阴线总成交量远小于阳线，则大概率为震仓。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0889ec-e694-48fc-932a-c9d5df0b0686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若接近或超过，则为真实出货。</w:t>
      </w:r>
      <w:bookmarkEnd w:id="105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6df5bd-f55d-4da2-ab04-ff4cfbd28897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S1（扫黄）作为最终离场信号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上涨趋势中出现放量大阴线（尤其是倍量级），即为“扫黄”，必须离场。</w:t>
      </w:r>
      <w:bookmarkEnd w:id="105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82a95b868144378827f2089ebc893d3" w:id="1055"/>
      <w:bookmarkEnd w:id="105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0a0655323c5401e995fb1e54b25c704" w:id="105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高控盘状态下的走势演变 </w:t>
      </w:r>
      <w:bookmarkEnd w:id="105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dc16c5-dd9d-4c68-ad87-fe83efb448ed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缩量涨停 = 高度控盘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表明筹码集中，主力可通过少量对倒封板，但已无增量资金支持。</w:t>
      </w:r>
      <w:bookmarkEnd w:id="105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a9c0356-43de-427c-92d2-0441c002eea1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飞龙在天与亢龙有悔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高控后随时可能出货（如徐翔式断头铡刀），需逐步减仓。</w:t>
      </w:r>
      <w:bookmarkEnd w:id="1058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7ba2fe6-72c4-429e-ad17-c35bc82d4bda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自由发挥阶段的技术失效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当股价进入极度疯狂阶段（如多日平量+缩量回调），技术分析失效，仅剩白线支撑与S1信号可用。</w:t>
      </w:r>
      <w:bookmarkEnd w:id="105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67bb2b7f16a47859c002e54ada596e5" w:id="1060"/>
      <w:bookmarkEnd w:id="106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a3bfa59a1494c21b6a776fd8b62e3b0" w:id="106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总结：成交量的核心要义 </w:t>
      </w:r>
      <w:bookmarkEnd w:id="106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6f8b9bb-c760-40a0-a6ff-203f5722b768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关注倍量，忽略一般放量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倍量是判断主力动向的最关键指标。</w:t>
      </w:r>
      <w:bookmarkEnd w:id="106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8223917-d360-4952-a87d-004f004c4127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交易纪律至上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不猜测动机，只跟随盘面信号行动，做到“大哥先吃，我再吃”。</w:t>
      </w:r>
      <w:bookmarkEnd w:id="106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b1cd60-78c2-428c-a5fb-becc65f464d1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敬畏市场不确定性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即使逻辑成立，也要防范极端波动，合理设置退出机制。</w:t>
      </w:r>
      <w:bookmarkEnd w:id="106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9d02b46dcfa49cb8554b6f37d77818a" w:id="106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2026-05-02T17:56:11Z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3/j93ocImYDiJQz5H9WWbLNKUK9ZczIATlrXFTHRlU=","ProduceID":"ai_zongjie:4de0eaffe5fbf39e7f08bdc773e82d97","ReservedCode2":"p3/j93ocImYDiJQz5H9WWbLNKUK9ZczIATlrXFTHRlU=","PropagateID":"ai_zongjie:4de0eaffe5fbf39e7f08bdc773e82d97","ContentProducer":"001191440101MA9Y9T4H7A00000"}</vt:lpwstr>
  </property>
</Properties>
</file>