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d33f3201cec483a89adcef7e24ba33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中成交量分析的核心方法，重点讲解了缩量、地量在N型结构中的实战意义，强调只关注上涨趋势回调阶段的缩量与地量配合买点，并指出下跌趋势中缩量无意义。同时批判性分析了港股、美股因交易制度差异导致量价分析失效，最后提醒投资者遵守纪律、聚焦确定性模式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499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bbae1a64c4644599562585642f6ca79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bf00fa37f864e87bc66c181512abcd8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缩量的基本定义与适用场景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d34074-4a2a-4cf2-810d-7b811a4e9c07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什么是缩量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缩量是指今天的成交量比前一天小，即“今天的量比前几天小”就叫缩量。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66ff4b-0e4e-44e0-a928-41a0aaa05ff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缩量的意义限定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94b101-c7d4-4b65-89e0-efdbad2f0a6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绝大部分缩量没有意义。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70f62e-dfa7-4f66-8081-0ba7fb0998b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只有在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上涨过程中的回调阶段出现的缩量才有价值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4c41548-0632-414b-92bf-50318e40a3b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其他位置（如下跌趋势或盘整期）的缩量均无实际意义。</w:t>
      </w:r>
      <w:bookmarkEnd w:id="100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7443076077746f09fdcd9ac6a826fa9" w:id="1010"/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5e13aad6d7841d58af2c6fa97ed401a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上涨趋势中缩量的价值 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c1a0f0-6edf-4279-b725-d35ec796d59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N型结构中的缩量有效性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a0e500-0246-41c1-964c-73032e0a260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只有在“N型结构”上涨趋势的回调阶段出现的缩量才具备实战价值。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afb55c-4164-4473-9041-2d57012232a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示例：某股在上涨后回调期间连续缩量，表明抛压减弱，是潜在的买入信号。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1d71a8-c6a3-4f70-94e4-bccb57fc6d2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回调不破前低的缩量为佳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69b50c-7fc4-43f1-9143-cbf12b429d9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若回调过程中价格未跌破前低且伴随缩量，则该缩量更具参考价值。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ab1de2-51a1-432f-a38a-b323c7cf1b52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表明主力未出货，跟风盘已离场，筹码趋于稳定。</w:t>
      </w:r>
      <w:bookmarkEnd w:id="101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917219a2dc54663b651150dd0a529c5" w:id="1018"/>
      <w:bookmarkEnd w:id="101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fd91b4db48c4dc896990056c5bc390c" w:id="101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放量与量价关系分析 </w:t>
      </w:r>
      <w:bookmarkEnd w:id="101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7dce8c3-15f0-4988-84ac-a37b349b9d1c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放量需结合涨幅判断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2834ac-3d1f-442e-84ac-2e20677aa523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放量仅涨一点是否合理？取决于放量程度：</w:t>
      </w:r>
      <w:bookmarkEnd w:id="1021"/>
    </w:p>
    <w:p>
      <w:pPr>
        <w:pStyle w:val="一级无序列表"/>
        <w:pageBreakBefore w:val="off"/>
        <w:numPr>
          <w:ilvl w:val="2"/>
          <w:numId w:val="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71633c-c4fe-4cbc-a30b-b34da2de289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一般性放量+小幅上涨：属正常现象。</w:t>
      </w:r>
      <w:bookmarkEnd w:id="1022"/>
    </w:p>
    <w:p>
      <w:pPr>
        <w:pStyle w:val="一级无序列表"/>
        <w:pageBreakBefore w:val="off"/>
        <w:numPr>
          <w:ilvl w:val="2"/>
          <w:numId w:val="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c5f7998-a8b7-456d-9225-d77209edf0c8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极端放量+微幅上涨：可能意味着出货或滞涨。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1020a3e-f365-455a-8409-d21778b77c5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最佳量价配合形态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d44c98-d0e9-4cc7-95fe-d9738bcb1085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最理想的买入信号是“中长阳配备大量”，即价格大幅上涨同时成交量显著放大，代表主力资金进场，俗称“大哥来了”。</w:t>
      </w:r>
      <w:bookmarkEnd w:id="102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894dd11a65f44a780fd6ae3c5e103ed" w:id="1026"/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5a8d49a3f6b46e9bce7acf9c01c255c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无效与危险的量价组合 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a439e7-f9d4-4bfc-b949-e87e77fe3e7c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上涨中途无缩量直接放量的风险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daddcb2-f3a6-4163-afcb-6cc4b222ce5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如某股在上涨途中未经历缩量调整，直接再次放量拉升，此形态缺乏概率优势，不宜介入。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3de45b-7b97-4d6b-bb99-00ad74db867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倍量后接缩量再放量的非标准形态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a12c17-0684-4cf2-8110-c4fbe179370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倍量→缩量→放量的结构若不符合典型模式（如未形成明确异动），则不具备高胜率特征。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fdb91a-4830-4ae7-bf1f-4cfaea7780e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此类走势后续涨跌不定，不应作为主要操作依据。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dc747d1df1749f4830165f168eb9d0a" w:id="1033"/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dca3e316f264f90b5e3354530c1d657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地量的识别与实战应用 </w:t>
      </w:r>
      <w:bookmarkEnd w:id="103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47217fe-9bd3-4e51-a0c5-cc95fda67da4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地量无绝对数值标准</w:t>
      </w:r>
      <w:bookmarkEnd w:id="103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86bfcc-e8de-43a3-b10f-95e31f443ed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地量并非指20日、30日或50日最低量，而是相对概念。</w:t>
      </w:r>
      <w:bookmarkEnd w:id="103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cb326b-e45b-46bc-90c0-f82ea542a76c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应理解为在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N型结构的特定阶段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中，成交量达到阶段性最小值。</w:t>
      </w:r>
      <w:bookmarkEnd w:id="103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ac8dc7-4d00-4bb0-84bc-c758a966f9db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地量的有效位置</w:t>
      </w:r>
      <w:bookmarkEnd w:id="103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d17b1b1-bda0-46d5-bfa2-db4d4ce5e0c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上涨波段回调至红线支撑位时，若成交量为本轮最小，称为“地量”。</w:t>
      </w:r>
      <w:bookmarkEnd w:id="103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64ce57b-1da7-45d5-9755-28d83c5a7343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此时意味着“已经没人卖了”，主力停止洗盘，跟风盘清空，趋势有望重启。</w:t>
      </w:r>
      <w:bookmarkEnd w:id="104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e82afe3-44f4-45ae-8f92-a884d8855d95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地量作为买点的条件</w:t>
      </w:r>
      <w:bookmarkEnd w:id="104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89baa9-b78b-49fe-ac96-b033b92929f1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需配合“B一”买点信号使用。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25c648-d9df-4f2d-b70c-bd616a4fba89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出现地量后若次日放倍量涨停，可能是新主力入场信号；若缩量对倒拉升，则无意义，不可追高。</w:t>
      </w:r>
      <w:bookmarkEnd w:id="104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37e26daf1a24a6bb440a32c72e5d1b1" w:id="1044"/>
      <w:bookmarkEnd w:id="104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409c729c98b4371a961d274f5617ab8" w:id="104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下跌趋势中的量价逻辑反转 </w:t>
      </w:r>
      <w:bookmarkEnd w:id="104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ff73e1-ecbc-401a-b7e3-3e570d9a383c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下跌阶段缩量无意义</w:t>
      </w:r>
      <w:bookmarkEnd w:id="104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c92a64-f2ad-4cda-813a-cea38eb42a87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明确强调：“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下跌阶段所有的缩量是没有意义的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。”</w:t>
      </w:r>
      <w:bookmarkEnd w:id="104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20c2ff-3f26-41b1-a07d-b359d5e03f43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不应将上涨逻辑套用于下跌行情。</w:t>
      </w:r>
      <w:bookmarkEnd w:id="104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0173c0-9feb-4b02-ad04-16b9b0b89ba2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反弹高点缩量为卖出信号</w:t>
      </w:r>
      <w:bookmarkEnd w:id="104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968460-e8a5-4762-a910-53a99029ffce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在下跌趋势中，反弹至压力位（如白线、黄线）时若成交量缩小，称为“缩量阳线”。</w:t>
      </w:r>
      <w:bookmarkEnd w:id="105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cfe405-a186-4fcd-a5f2-a6bf8a58cb36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此为弱势表现，预示反弹无力，空头仍占主导，应视为开空机会（适用于期货）。</w:t>
      </w:r>
      <w:bookmarkEnd w:id="105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644a89eb6cb4e67adda8748e9aa9132" w:id="1052"/>
      <w:bookmarkEnd w:id="105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c3bfd90ae54db89f8b6105f9ffe932" w:id="105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量价背离与趋势延续判断 </w:t>
      </w:r>
      <w:bookmarkEnd w:id="105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3a169e-5f7e-4300-8971-d46c6a244ce8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N型结构反弹衰竭点的识别</w:t>
      </w:r>
      <w:bookmarkEnd w:id="105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c5fcc5-ab50-42e3-b3a3-9c2fbccb544b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反弹至高点时未放量反而缩量，构成“量价背离”。</w:t>
      </w:r>
      <w:bookmarkEnd w:id="105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249670-336c-4da7-8d99-1b09ad0eba94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意味着多头力量不足，下跌趋势仍将延续。</w:t>
      </w:r>
      <w:bookmarkEnd w:id="105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a4dc1c-a518-4a35-8b0d-a8b2e42c682f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倍量缺失导致反弹失败</w:t>
      </w:r>
      <w:bookmarkEnd w:id="105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3e1b23-56f9-4467-ad44-7f23ab1e5e25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连续反弹过程中始终未出现“倍量柱”，说明缺乏主力推动。</w:t>
      </w:r>
      <w:bookmarkEnd w:id="105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ff0b17-6918-4f74-a0d3-6cf25d355f2c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即使价格短暂回升，最终仍会回落，不具备操作价值。</w:t>
      </w:r>
      <w:bookmarkEnd w:id="105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3b284970d7644afa82950ba278aeb38" w:id="1060"/>
      <w:bookmarkEnd w:id="106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b05348ea0da41858d42c80d0ac8bc60" w:id="106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港股与美股的成交量分析局限性 </w:t>
      </w:r>
      <w:bookmarkEnd w:id="106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e9f4fc-f07e-41eb-8827-3775737f6de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港股成交量不显著的原因</w:t>
      </w:r>
      <w:bookmarkEnd w:id="106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57f71a-dd88-470c-a144-46e3690162c2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流动性不稳定，“时好时坏”，导致量价关系难以解读。</w:t>
      </w:r>
      <w:bookmarkEnd w:id="106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51ea091-23e0-4feb-9f8f-e38d1fe2058a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建议仅以“白线与黄线”作为操作依据，忽略成交量变化。</w:t>
      </w:r>
      <w:bookmarkEnd w:id="106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f209aa-593f-4cdd-9e52-09e97ba1c755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美股T+0与无涨跌停的影响</w:t>
      </w:r>
      <w:bookmarkEnd w:id="106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e8b79b-21ef-43ff-91b2-c650bd727cb1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美股实行T+0交易且无涨跌停限制，机构可一日完成建仓、洗盘、拉升、出货全过程。</w:t>
      </w:r>
      <w:bookmarkEnd w:id="106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353356-fecf-4db6-924b-4cfd1ea5d594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日K线呈现长阳/长阴，但分时已完成全部动作，传统量价分析失效。</w:t>
      </w:r>
      <w:bookmarkEnd w:id="106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1914e6-66ac-4a8c-bfa7-8fe09f636f31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因此，美股和港股不适合采用A股的“划线派”量价战法。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f0ec0ef95a44141bf98e6ea88da1194" w:id="1069"/>
      <w:bookmarkEnd w:id="106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e339100c449495687e1e2eb84c19179" w:id="107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历史制度演变对当前规则的解释 </w:t>
      </w:r>
      <w:bookmarkEnd w:id="107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dd155c-d7c4-4c3e-a664-ea3b572a7d19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A股从T+0改为T+1的历史背景</w:t>
      </w:r>
      <w:bookmarkEnd w:id="107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faa473-b704-41f5-bd23-95a46ccad1d0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早期A股曾实行T+0制度（1990–1994年），但因散户亏损严重、市场混乱而改回T+1。</w:t>
      </w:r>
      <w:bookmarkEnd w:id="107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9260e1-ef33-409f-8bd7-2a499cbdaeb5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目的是保护散户，防止过度投机造成“片甲不留”的局面。</w:t>
      </w:r>
      <w:bookmarkEnd w:id="107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a4a19c1-cd3f-4473-a8fd-180198038519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涨跌停板的双重作用</w:t>
      </w:r>
      <w:bookmarkEnd w:id="107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3e2277-f93f-49a9-b2cd-6e4f09e92b1f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虽然表面上限制散户操作自由，但也制约了机构的操控行为。</w:t>
      </w:r>
      <w:bookmarkEnd w:id="107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fe8dac-a991-4cc8-b649-d6f7c59fecb6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规则的存在意味着漏洞可被多方利用，形成博弈平衡。</w:t>
      </w:r>
      <w:bookmarkEnd w:id="107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858225-20ca-4e78-a397-aa3ba8e043f4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若完全放开（如T+0+无涨跌停），在现有法律环境下，散户将彻底失去生存空间。</w:t>
      </w:r>
      <w:bookmarkEnd w:id="107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14a1336d4b64dc4a117ddc07c69d4a8" w:id="1078"/>
      <w:bookmarkEnd w:id="107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860c13b46b4c35bdae7484b8aa2da6" w:id="107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辅助指标RSI的应用与评价 </w:t>
      </w:r>
      <w:bookmarkEnd w:id="1079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9799d6-cc38-4e72-8faa-34265aec7eb4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RSI参数设置</w:t>
      </w:r>
      <w:bookmarkEnd w:id="1080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ec33f1-0cc4-454d-8be5-645815b63b13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推荐将RSI指标参数设为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`14, 28, 57`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，称为“江湖派铁壶底”的常规武器。</w:t>
      </w:r>
      <w:bookmarkEnd w:id="108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4c3563-aa63-4172-a617-48a5b29ad85a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RSI三线排列作为趋势依据</w:t>
      </w:r>
      <w:bookmarkEnd w:id="108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1b65ed-8663-4a4a-8dab-8705b3834422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当白线在黄线上，黄线在紫线上时，表示处于强势波段，可持股或选股。</w:t>
      </w:r>
      <w:bookmarkEnd w:id="108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71ab31-7359-4365-b802-7688f0862a1e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RSI的滞后性问题</w:t>
      </w:r>
      <w:bookmarkEnd w:id="1084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934faf-1feb-4dee-9dbb-47caeec39d41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参数周期较长导致信号滞后，不适合作为主要决策工具。</w:t>
      </w:r>
      <w:bookmarkEnd w:id="108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757cd4-7ec3-45ca-92da-6388d7742130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已有更优的“白线之上做多”、“量价配合”等核心方法，RSI仅作辅助验证。</w:t>
      </w:r>
      <w:bookmarkEnd w:id="108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6f78f3475bd4e5d9d34d43f9cb2a2c5" w:id="1087"/>
      <w:bookmarkEnd w:id="108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43083092d3749e59fcefb07ce44c61a" w:id="108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实战案例解析：宁波、瑞达、航发等标的 </w:t>
      </w:r>
      <w:bookmarkEnd w:id="1088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93ef63-1e7c-41fe-bd02-8128724f35c9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宁波案例</w:t>
      </w:r>
      <w:bookmarkEnd w:id="1089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260f42-3723-42a3-8e4f-6da513d9e7cb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倍量启动 → 平量延续趋势 → 大幅缩量回调 → N型结构底部确认。</w:t>
      </w:r>
      <w:bookmarkEnd w:id="1090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de5f1b-4668-48c6-852c-d725c4bea89a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“赚的每一分钱都有依据”，体现量价分析的确定性。</w:t>
      </w:r>
      <w:bookmarkEnd w:id="1091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bafc2b-4505-4a5b-876d-c976e823f09d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瑞塔（Rita）案例</w:t>
      </w:r>
      <w:bookmarkEnd w:id="1092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618477-3eca-4faf-ace1-fd4ab2e4a3b0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地量出现在N型结构红线支撑位，配合B一信号，构成理想买点。</w:t>
      </w:r>
      <w:bookmarkEnd w:id="1093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ae28bc-023c-4f37-8e35-d408de2f84cf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强调“截图保存标准图形”，反复练习识别此类模式。</w:t>
      </w:r>
      <w:bookmarkEnd w:id="1094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d59f6cd-52f1-42e2-830f-d79fb393a1e0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航天发展案例</w:t>
      </w:r>
      <w:bookmarkEnd w:id="1095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5241dcd-28a4-4fca-9657-ba9aa8c07a3c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倍量涨停后缩量盘整，随后顶部放量（S1）即为出货信号。</w:t>
      </w:r>
      <w:bookmarkEnd w:id="109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bd9c0b-3d2e-4463-9a0f-1bd8324a65b7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提醒“25%收益到手即可离场”，不贪恋后续波动。</w:t>
      </w:r>
      <w:bookmarkEnd w:id="109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dec3a5ccabc4517898abc4a3d9e0e9b" w:id="1098"/>
      <w:bookmarkEnd w:id="109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bce5f90aae24c39926e7702cf7475b6" w:id="109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操作纪律与心态管理 </w:t>
      </w:r>
      <w:bookmarkEnd w:id="109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008d59-c389-4b96-b8a5-f929baa6fda3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坚持既定模式</w:t>
      </w:r>
      <w:bookmarkEnd w:id="110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efa27b-7aee-45e9-b768-440ae16fe867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“只按照我给你们的定式去做”，不做超配、不随意追涨。</w:t>
      </w:r>
      <w:bookmarkEnd w:id="1101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a353c9-0b56-4802-8f54-802aa542851a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超配必须建立在“最完美的二十种图形”基础上。</w:t>
      </w:r>
      <w:bookmarkEnd w:id="110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d9ef457-b767-4562-9391-13eec268ac2a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避免情绪化操作</w:t>
      </w:r>
      <w:bookmarkEnd w:id="1103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103de8-b9bc-4c3d-b3a5-31c581fa88d9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不要因错过上涨而懊悔，也不要因短期回调而恐慌。</w:t>
      </w:r>
      <w:bookmarkEnd w:id="1104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b7be80-8842-4c99-bdce-cf3611d1d917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“你后面太难受了……每天还得揪着心”，说明违背了确定性原则。</w:t>
      </w:r>
      <w:bookmarkEnd w:id="1105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ce6a05-5309-4de3-ab30-d8c326962ad0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止损纪律</w:t>
      </w:r>
      <w:bookmarkEnd w:id="1106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6a18fe-9ba3-4f49-a7f6-a1c8399ffc08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明确“跌破白线第二天即卖出”，严格执行。</w:t>
      </w:r>
      <w:bookmarkEnd w:id="11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dc35330572d478a8487cc7bd1e7962a" w:id="1108"/>
      <w:bookmarkEnd w:id="11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34f97197ad74930ac1031012ee63cd0" w:id="11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总结：核心交易哲学 </w:t>
      </w:r>
      <w:bookmarkEnd w:id="1109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71ca31-16ed-4717-9e69-b1c42d05f16a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追求确定性而非可能性</w:t>
      </w:r>
      <w:bookmarkEnd w:id="1110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a70d64-c463-4dd7-a9f6-037d54ace2be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所有操作围绕“高概率、可复制”的模式展开。</w:t>
      </w:r>
      <w:bookmarkEnd w:id="1111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2d5329-5ae7-4dae-a8c1-183bf5eac351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忽略杂音，专注十张“完美图”反复打磨。</w:t>
      </w:r>
      <w:bookmarkEnd w:id="1112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386f62-3b16-4250-9e50-10b3eb79a66d" w:id="11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信与不信的问题</w:t>
      </w:r>
      <w:bookmarkEnd w:id="1113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2f0276-0090-42d9-b516-1a15d72650a1" w:id="11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是否相信“券商在牛市必涨”、“量价规律有效”，决定了持仓信心。</w:t>
      </w:r>
      <w:bookmarkEnd w:id="1114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3b3b07-a6bf-45a3-a4cc-3800aabcadea" w:id="11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选择相信本质规律，才能穿越周期。</w:t>
      </w:r>
      <w:bookmarkEnd w:id="111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09e6546-e201-49e1-b015-2cde3789719d" w:id="11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稳住当下，等待时机</w:t>
      </w:r>
      <w:bookmarkEnd w:id="1116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309f35-43e9-4680-a265-61d3c025443a" w:id="11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当前市场无主线、无节奏，“群魔乱舞”，建议轻仓观望。</w:t>
      </w:r>
      <w:bookmarkEnd w:id="1117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6307d2-bf65-4c7b-9907-d9a86bc6fe8b" w:id="11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“2026年肯定有行情”，现在是积累认知的时间，不是盲目出手的时刻。</w:t>
      </w:r>
      <w:bookmarkEnd w:id="11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61fae2b468f4b52967858a1f8d08dc5" w:id="111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1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2026-05-02T17:56:23Z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9g1rdRAQmH/VnuGkEWbpJucNNA9eMEbf9LnA4YhueY=","ProduceID":"ai_zongjie:477f1b4a3180b9630f2d2f110a719278","ReservedCode2":"K9g1rdRAQmH/VnuGkEWbpJucNNA9eMEbf9LnA4YhueY=","PropagateID":"ai_zongjie:477f1b4a3180b9630f2d2f110a719278","ContentProducer":"001191440101MA9Y9T4H7A00000"}</vt:lpwstr>
  </property>
</Properties>
</file>