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076bf3c972b46e69b1f960adfaa907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本视频讲述了股票交易中“击穿对手盘”策略的核心逻辑与实战应用，强调通过识别关键K线、倍量柱和缩量下跌等信号，在主力洗盘时坚定持仓以捕捉后续大幅上涨，并区分了“击穿”与“斩杀”的本质差异。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8458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aee6f77d3af44eeb4593bf4a19e3358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f4196cded084c08855c41ea8c07026f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右侧不止损原则的实践与心理承受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860689-e42a-4dba-88d9-c332b81f1620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核心理念阐述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采用“右侧从不止损”策略，即在买入后设定较大回撤容忍度（如15%-20%），不因短期波动轻易卖出。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5cd914e-dc04-48e6-b2fe-7fe635f37cf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仓位管理方法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在买点下方设置10%-20%的止损空间，例如B点建仓于37-38元，则以约31元作为极限止损位。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19fe3f-c30a-4195-971e-623e248ca7b1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换股逻辑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持有期间若发现更具潜力标的（如迪丽热巴替代红姐），应及时切换，而非死守单一股票等待大额回撤。</w:t>
      </w:r>
      <w:bookmarkEnd w:id="10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e8e5c3499a64e28a85003b9b58f2ed0" w:id="1008"/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407b5bef56b488e8f5cbd5790768895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S1出货信号的识别与应对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a1c67c-16e0-41b6-95ff-3be9ddfaaa9a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S1定义与判断标准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S1为真正的顶部出货信号，其成交量必须是盖过此前所有交易日的天量。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25e00a-f477-4048-a15a-555a14078cf7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次高点非S1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若某根K线虽看似S1但未形成天量，则仅为次高点出货，不能视为趋势终结。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8dbf38-ae92-40ec-95bb-35c179b3990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持有至S1出现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只要未出现符合标准的S1，即使经历大幅回调也应继续持有，如昂利康案例中坚持等到S1确认才离场。</w:t>
      </w:r>
      <w:bookmarkEnd w:id="101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3174b7f4dd24610b36464bda1ea57fc" w:id="1013"/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3aee1bc0eef474ab78a52028a7e3517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白线与黄线交易系统的纪律执行 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8bdf7a6-cd4a-48ae-b5e0-ac521e12296c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基本操作规则</w:t>
      </w:r>
      <w:bookmarkEnd w:id="101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0789f8-19ef-4713-aa79-73b21da27eb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白线上方持股，跌破白线则卖出。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ee6a85-eac8-4898-b78b-b924ade571a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黄线作为次级支撑，跌破且次日未收回需果断清仓。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3598ca-0504-40d3-b981-c1b441c826e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新手适用性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新手应严格遵守此战法，避免追求复杂策略，通过反复练习形成肌肉记忆。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51efbb763e14623821ef44847c2b3c8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3e07582e3194d68b29c538f7c5b1fa0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N型结构与阶梯量的市场含义 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389f69-45e5-481d-bfea-2ccdb30c836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阶梯量特征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出现在拉升后的调整阶段，表现为连续数日温和放量下跌，说明主力仍在有序派发。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18e13b-d6a9-47b2-bb5d-dbe1855f4ce5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磨底时间预估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阶梯量持续时间越长，后续反弹所需准备期越久，如九天才完成调整后迎来10%阳线。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1dae3e5115748869c4bc743e23344f7" w:id="1023"/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743678d7aa24fe49ef25ae87f5fdac5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倍量柱（被梁柱）与暴力K线的组合运用 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4a2289-4c49-4846-996c-1232ba4c5fb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倍量柱定义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单日成交量显著放大至前几日数倍以上，标记为主力介入或出逃的关键节点。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ce62c0-1839-412d-a655-b70bf88c20df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多炮齐鸣形态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连续出现多个倍量柱伴随大阳线，构成“双响炮”走势，预示行情启动。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bdfdec-e561-4a6b-8ee4-92919442d0b1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风车形态识别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多个倍量柱交替出现，类似大风车旋转，可按该模式进行波段操作。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41a798f200e479991abce92ca3b74eb" w:id="1028"/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47e58265a964505a6f8b92136d4b334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击穿对手盘的构成要素与观察依据 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ef3063-1a99-4be8-992d-c8789b12177a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核心概念解释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“击穿对手盘”指主力通过制造恐慌性破位，迫使散户在低位交出筹码。</w:t>
      </w:r>
      <w:bookmarkEnd w:id="103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52e7c9-1258-44d2-b1a4-0291246040f5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三大观察依据</w:t>
      </w:r>
      <w:bookmarkEnd w:id="103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cabd56-e3d1-4bbd-b820-72fe1ef9768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前期存在明显异动，包括关键K、倍量柱、暴力K线等信号。</w:t>
      </w:r>
      <w:bookmarkEnd w:id="103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b05d9c-6bfc-4a73-a11a-a7e92c7738e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顶部开始缩量下跌，直至地量出现。</w:t>
      </w:r>
      <w:bookmarkEnd w:id="103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d00e9a-4885-479f-98ce-24c2694694f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不破个人设定的止损位（非公众止损位）。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f262e3-7401-4640-8635-5a37e01d4193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缩量要求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必须呈现“长阴短柱”，即价格下跌幅度大而成交量萎缩，区别于放量砸盘的“斩杀”。</w:t>
      </w:r>
      <w:bookmarkEnd w:id="103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2f4734820bc4ded929a61d69b197543" w:id="1036"/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7c5f63bf85c4bdf9a7c17923a0b1c10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击穿与斩杀的本质区别 </w:t>
      </w:r>
      <w:bookmarkEnd w:id="103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1e3831-47bf-4ab6-810d-500db752c241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击穿特征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缩量破位，主力意图清洗浮筹，为后续拉升减轻压力。</w:t>
      </w:r>
      <w:bookmarkEnd w:id="103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96cb1b-2844-4d76-ab1b-c1f8a573c5e9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斩杀特征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放量重挫，常伴随基本面重大利空，如公司剥离核心业务，此时必须立即止损。</w:t>
      </w:r>
      <w:bookmarkEnd w:id="103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5d506b9-f982-4f61-a2b4-122a044bda4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实例对比分析</w:t>
      </w:r>
      <w:bookmarkEnd w:id="104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0a136d-fb21-4fcd-872f-f9c4a94693e3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五矿发展：缩量击穿，属洗盘行为，可继续持有。</w:t>
      </w:r>
      <w:bookmarkEnd w:id="104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7c48f8-8d11-42cc-a4fb-afc3af6bd42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中国中冶：放量破位，叠加基本面恶化预期，属于斩杀，应坚决离场。</w:t>
      </w:r>
      <w:bookmarkEnd w:id="104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ce691ad73c845649b56bdf86dcda1b2" w:id="1043"/>
      <w:bookmarkEnd w:id="104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4326ac68b924409bfae7c80f59e25c3" w:id="104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盈利目标设定与退出机制 </w:t>
      </w:r>
      <w:bookmarkEnd w:id="104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56c399-14cd-4b9e-9fb3-4a8b54cdde63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目标位选择</w:t>
      </w:r>
      <w:bookmarkEnd w:id="104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1745a7-5df7-4bf0-b3d7-f083bcbd80a9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前期高点突破。</w:t>
      </w:r>
      <w:bookmarkEnd w:id="104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b6cb2e-f9b0-497e-b589-8c2ffd7bb4f1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秒三倍、航天发展类主升浪走势。</w:t>
      </w:r>
      <w:bookmarkEnd w:id="104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019205-75e5-4b8e-a447-3a0c46daefca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S1出货信号出现。</w:t>
      </w:r>
      <w:bookmarkEnd w:id="104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a21162-be98-4ede-bd18-59e844f6f3f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跌破白线确认升势结束。</w:t>
      </w:r>
      <w:bookmarkEnd w:id="104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dded49-a3c4-4d25-976d-5dad804005d0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5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1b1772-e84d-4a42-8da2-c3b1882961ec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跌破关键K线最低点。</w:t>
      </w:r>
      <w:bookmarkEnd w:id="105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4cf704-48c7-481e-b0b9-83ed73785079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跌幅达15%-23%，且出现放量长阴。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69f4d9-be4f-4141-8a9e-49c8d07ec1be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基本面发生根本性变化，如大股东出售资产。</w:t>
      </w:r>
      <w:bookmarkEnd w:id="10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49d409db4464550bbbd34e90bb7b0b0" w:id="1054"/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6c681548c604d5a9b4a5004cc46c31e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与主力共舞：成为“家人”的路径 </w:t>
      </w:r>
      <w:bookmarkEnd w:id="105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c2e8e9-ab85-45f0-911c-7a24fc593df0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锁仓的意义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在主力击穿过程中不割肉，相当于帮助主力锁定流通筹码，未来可能获得超额回报。</w:t>
      </w:r>
      <w:bookmarkEnd w:id="105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38c9ec-2167-4256-87f0-f720f0f5571b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家人待遇体现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如五洲新春案例中，主力连续拉涨停不让下车，是对长期陪伴者的奖励。</w:t>
      </w:r>
      <w:bookmarkEnd w:id="105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993e45-c8fd-4577-ada9-c7e974f2f34b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震仓识别技巧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核心武器为“长阴短柱”与“低位缩量横盘”，辅以“稍微放量的难看阴线”增强迷惑性。</w:t>
      </w:r>
      <w:bookmarkEnd w:id="105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90d34ad76cb4f5baf1bda8f6fab547e" w:id="1059"/>
      <w:bookmarkEnd w:id="105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354e2e63a6842e684351c078b73e333" w:id="106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投资哲学与长期主义信念 </w:t>
      </w:r>
      <w:bookmarkEnd w:id="1060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c36217-a07f-48d3-a4af-5788049b55da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知行合一的坚持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自2018年起始终坚持长期主义理念，拒绝迎合短期热点，坚信优质策略终将兑现。</w:t>
      </w:r>
      <w:bookmarkEnd w:id="106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ce4e3f4-c0e1-4cda-a7cf-100782bf96c0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无欲则刚的认知优势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因自身无持仓，能保持客观理性，准确判断市场方向，如提前预判铜、有色板块行情。</w:t>
      </w:r>
      <w:bookmarkEnd w:id="106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2d5ee0-306b-47f2-9f13-f882f69ffb86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教育传承使命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将复杂交易体系系统化传授，即便短期内被误解或谩骂，仍相信长期价值会被验证。</w:t>
      </w:r>
      <w:bookmarkEnd w:id="106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11281c7815c46f088eb4c1abf44abc4" w:id="106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2026-05-02T06:51:42Z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ygnsjvQm9Jwf8SBaPJX1OkQCrPmxoXAKdXdkk3DtDI=","ProduceID":"ai_zongjie:78a2485b7b2a2019d413147bee7753cd","ReservedCode2":"EygnsjvQm9Jwf8SBaPJX1OkQCrPmxoXAKdXdkk3DtDI=","PropagateID":"ai_zongjie:78a2485b7b2a2019d413147bee7753cd","ContentProducer":"001191440101MA9Y9T4H7A00000"}</vt:lpwstr>
  </property>
</Properties>
</file>