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c0d24648a944a26afe4f719567d67f6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A股市场近期十四连阳行情的象征意义及背后政策逻辑，强调该轮上涨是国家层面推动慢牛、提振内需的信号，并结合技术分析详解B2买点的核心战法与实战案例，指导投资者在确定性机会中配置仓位、管理风险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584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f42e975b5ba4453bff60e060414d138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895a8b479044d07ae8471d4890264a3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当前行情的宏观解读与象征意义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4b6722-56ff-48cf-b222-ea70f96c11a1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增量资金入场的波段性质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此轮上涨由增量资金驱动，属于波段操作，而非普适性赚钱行情。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4b1c40-939c-489e-b1dd-344c03d9281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十四连阳的历史罕见性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上证指数走出十四连阳，在05年后历史中极为少见，其本身构成重大市场信号。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4bc1194-d483-4fdb-9e5f-864a5373e0cb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行情的深层政治经济意义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9a1a2f-4980-4c90-8c35-f995ec2c0fd3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行情目的在于向市场传递信心，宣告2026年将开启“慢牛”周期。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35a789-d310-4e57-8c04-45329810039a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背后逻辑是通过财富效应刺激内需，实现“发钱→消费”的正向循环。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7ebc50-46e1-4ce8-8666-44916e441ae2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“发钱”并非直接现金发放，而是通过资本市场让居民财产性收入增长。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4bf3bd-6895-4340-aaa6-8d599db3f8d8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春节前启动行情，意在配合节日消费旺季，形成政策与市场的共振。</w:t>
      </w:r>
      <w:bookmarkEnd w:id="101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db2a7c7e5a44539b6baf4293c69d937" w:id="1012"/>
      <w:bookmarkEnd w:id="101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c8ab0921a3642e6a3b04a4a2149f9bc" w:id="101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政策与流动性支持分析 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bd44fed-11e0-4aa8-8f83-3b005de2d309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货币政策定调的重大转变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央行明确提出“全年执行适度宽松的货币政策”，此表述级别极高，上一次出现是在2009年“四万亿”时期。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7b6f407-76bd-4900-bea8-1f179c0bebe1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机构敢于入场的根本原因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机构大资金敢于买入核心资产，源于有央行“尚方宝剑”支持，预期第一季度将降息降准。</w:t>
      </w:r>
      <w:bookmarkEnd w:id="101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c5883bb-f055-4bcb-994c-37e26855bbd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国家执行力的特点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国家自上而下推动时行动迅速，一旦决心已定，推进速度极快。</w:t>
      </w:r>
      <w:bookmarkEnd w:id="101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955a835d6ba4c7584313a59ab9b8185" w:id="1017"/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ebe1253df4f452194dcf212fdef3335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投资哲学与心态建设 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7edfe2-a21e-48cb-a95e-148c8f76340d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核心投资理念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强调“跟着国家走，国家指哪儿我打哪儿”，认为个人命运与国运紧密相连。</w:t>
      </w:r>
      <w:bookmarkEnd w:id="101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561e00e-ccca-42ab-8074-6f17c1b088fc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对市场波动的认知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当前行情需要“不信”才能持续上涨，当普遍信了之后反而可能见顶。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cf56d46-ce2f-4e30-8044-a3b459a8443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长期持有与过程看待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坚持满仓持有等待最终见顶，中间过程的震荡（如再磨两个月）无需过度担忧。</w:t>
      </w:r>
      <w:bookmarkEnd w:id="102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b128519956c46eea47164861d150d4f" w:id="1022"/>
      <w:bookmarkEnd w:id="102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763d9977091443cb5546ed5f63e8c79" w:id="102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确定性投资与仓位管理策略 </w:t>
      </w:r>
      <w:bookmarkEnd w:id="102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44637a-ff80-4665-9087-f75b078e6ea1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确定性投资的定义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确定性不在于小仓位押注妖股博取高收益，而在于用大仓位（如30%-50%）配置在概率高、稳定性强的标的上获取合理回报（如7%-10%）。</w:t>
      </w:r>
      <w:bookmarkEnd w:id="102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11c30c3-f448-4a67-b58b-6a9fc1b4d66a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小资金与大资金的区别对待</w:t>
      </w:r>
      <w:bookmarkEnd w:id="102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ca1be7-35fb-4054-af12-f72bbc0c689d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小资金（如2-5万）可大胆操作，即使亏损一个跌停板（5000元），跑半个月滴滴即可赚回。</w:t>
      </w:r>
      <w:bookmarkEnd w:id="102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9a4cff2-3fca-4e5b-b5bf-c984cb364053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大资金（如一亿）则必须谨慎，一个跌停损失巨大，难以弥补。</w:t>
      </w:r>
      <w:bookmarkEnd w:id="102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e8917f-d1a3-4748-a8aa-ec230a206f2c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配置的重要性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必须进行分散配置，至少持有五个不同标的，避免重仓单一板块（如白酒）踏空行情。</w:t>
      </w:r>
      <w:bookmarkEnd w:id="102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533ccb06716472dbd979778e7c76a4b" w:id="1029"/>
      <w:bookmarkEnd w:id="102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30ab853c610460eb81356cfe5684a2f" w:id="103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券商板块的战略地位与操作逻辑 </w:t>
      </w:r>
      <w:bookmarkEnd w:id="103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c514b6a-33cf-4dad-a5fe-3bf98eef4304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券商在牛市中的主线地位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无论慢牛或快牛，券商都是必然的主线板块。</w:t>
      </w:r>
      <w:bookmarkEnd w:id="103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acfc532-8c7e-4f83-8647-639b59c2a34c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券商作为“工具”的双重角色</w:t>
      </w:r>
      <w:bookmarkEnd w:id="103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d9ad9a-73c7-48f6-a05b-be572c684c5b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在行情初期，券商是“工具”，用于稳定和引导指数。</w:t>
      </w:r>
      <w:bookmarkEnd w:id="103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5617f36-a40e-4087-ad7f-2959ca3ec2b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若券商整体涨停，则会因权重过大而被动拉升指数，触发量化和ETF的跟风买入，可能导致行情过热而被干预。</w:t>
      </w:r>
      <w:bookmarkEnd w:id="103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6eb2eda-4e2e-4cad-846d-4569e6e34105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重仓券商的逻辑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只要大盘上涨，券商必涨，因此可以重仓持有，睡得着觉。</w:t>
      </w:r>
      <w:bookmarkEnd w:id="103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c89c89-4718-4829-aab7-3e62504b033c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对“券商不涨”的回应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抱怨券商不涨的人没有理解其战略定位，当前是“等大哥进场”的阶段，不应着急。</w:t>
      </w:r>
      <w:bookmarkEnd w:id="103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a0420eb35ad43509dca0514b9d300dc" w:id="1037"/>
      <w:bookmarkEnd w:id="103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40ff5143244424a96e8f23e7d56994d" w:id="103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经典技术形态：击穿对手盘与震仓图解 </w:t>
      </w:r>
      <w:bookmarkEnd w:id="103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62211c-7dd8-4f9a-b09f-f154bf8c3da2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击穿对手盘的标准图形</w:t>
      </w:r>
      <w:bookmarkEnd w:id="103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1666b81-fdef-4de3-ae9d-7992722600f3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特征为“长阴短柱”，即一根长阴线快速击穿关键支撑位，但成交量并未放大。</w:t>
      </w:r>
      <w:bookmarkEnd w:id="104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4738d8-a41e-43ba-9f65-727a0c480d1f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此形态骗不过“Z家军”，因为放量下跌才是真出货，无量下跌多为洗盘。</w:t>
      </w:r>
      <w:bookmarkEnd w:id="104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55fa387-3d1b-4895-bcd6-8b89eab2d005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图例显示，击穿后横盘两周，随即被两根阳线快速拉起，是典型的震仓吸筹后启动。</w:t>
      </w:r>
      <w:bookmarkEnd w:id="104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edaef17b0aa466889ac6573583577d2" w:id="1043"/>
      <w:bookmarkEnd w:id="104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ff1c284b88d44e79a0ce7b09a86a3fc" w:id="104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B2买点精讲与十大经典战法 </w:t>
      </w:r>
      <w:bookmarkEnd w:id="104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6168f35-4d48-4d17-a7c8-179543f25af3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B2买点的核心定义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经历一波回调（B1）后再次启动的那根中长阳线，称为B2。它不局限于上涨趋势，横盘后的启动同样有效。</w:t>
      </w:r>
      <w:bookmarkEnd w:id="104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7b04ba-31b8-4c28-9f4f-7c99ec4f9b5a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B2买点的基础筛选条件</w:t>
      </w:r>
      <w:bookmarkEnd w:id="104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096373-d523-4793-9018-62a4866401f2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出现在B1之后。</w:t>
      </w:r>
      <w:bookmarkEnd w:id="104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91a080-a6c2-43db-bd85-95ac41d73482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涨幅大于4%。</w:t>
      </w:r>
      <w:bookmarkEnd w:id="104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a8be7e0-1781-489f-b8a5-df084b9a5834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成交量较前一交易日放大。</w:t>
      </w:r>
      <w:bookmarkEnd w:id="104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6450fc-8ab4-46a8-8560-fed78593a279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KDJ指标的K值原则上小于80（此前设为55是为了降低追高风险）。</w:t>
      </w:r>
      <w:bookmarkEnd w:id="105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03176f2dc01943ffaa26986c3214c1af" w:id="105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 xml:space="preserve">B2十大经典战法之一：平行重炮 </w:t>
      </w:r>
      <w:bookmarkEnd w:id="105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280872-1c74-4d83-b99d-70535eaa674f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经过一轮回调后，出现两根位置相近、力度相当的放量中长阳线，中间夹杂缩量阴线。</w:t>
      </w:r>
      <w:bookmarkEnd w:id="1052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bc2d3c-58fb-4be1-9fb3-9bf4b871e882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市场含义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洗盘确认，主力宣告“之前走的人都别回来了”，随即开始拉升。</w:t>
      </w:r>
      <w:bookmarkEnd w:id="1053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13cb055b955419ab6a9f97a09567c79" w:id="1054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B2十大经典战法之二：灾后重建（被亮柱）</w:t>
      </w:r>
      <w:bookmarkEnd w:id="1054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119a9d5-0616-43ec-9e23-eb63ba6e4eca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连续回调至黄线（关键支撑位）附近，突然放出巨量（倍量柱），收出一根中长阳线。</w:t>
      </w:r>
      <w:bookmarkEnd w:id="1055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2de15c-47bc-42cd-8dbd-f6ef4ba65338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市场含义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实质上是“击穿对手盘”后的“被亮柱”启动，主力在关键位置超预期放量，一次性接走所有套牢盘，筹码重新出发。</w:t>
      </w:r>
      <w:bookmarkEnd w:id="105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534aa0d-750f-4afd-ac0d-558363b682bc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有效性判断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单根倍量柱越大越好，微微放量不可信，可能是巧合或主力高控盘。</w:t>
      </w:r>
      <w:bookmarkEnd w:id="1057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7a75c47c738a424c8623d64e1e43389b" w:id="1058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 xml:space="preserve">B2十大经典战法之三：跃跃欲试 </w:t>
      </w:r>
      <w:bookmarkEnd w:id="1058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be92d0e-0c49-4c52-b137-208d81565f8b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长期横盘后，出现“红长绿短”的试探性攻击，即阳线实体长、阴线实体短，且整体重心缓慢上移。</w:t>
      </w:r>
      <w:bookmarkEnd w:id="1059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e2a636-06e1-4fae-b507-b48c90e309a1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随后可能出现击穿N型结构前低点的“击穿对手盘”动作，但能快速收回。</w:t>
      </w:r>
      <w:bookmarkEnd w:id="1060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6b7c65-df31-4dda-b47a-9e1dfefca33c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关键是后续必须出现“被亮柱”（倍量柱）来确认启动。</w:t>
      </w:r>
      <w:bookmarkEnd w:id="1061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c37e6f-b4b1-4049-8b6a-eb2f15534d47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经典案例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图例显示，横盘末期出现“倍量柱+黄线位置+缩半量”组合，随后连续涨停，是“麒麟怪”标准玩法。</w:t>
      </w:r>
      <w:bookmarkEnd w:id="106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f6a3d35d0394f37a3a0c9acace682ed" w:id="1063"/>
      <w:bookmarkEnd w:id="106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df98961a10844f8b917f51462fbd31b" w:id="106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MA洗地（MACD）在活跃市值中的应用 </w:t>
      </w:r>
      <w:bookmarkEnd w:id="1064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ad1bc43-1769-4650-ad32-6755086aa9dd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主升浪的判断标准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MA洗地（MACD）在零轴之上出现二次金叉，是主升浪启动的明确信号。</w:t>
      </w:r>
      <w:bookmarkEnd w:id="1065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ac7fa58-d003-4f7d-9a75-e4b8279cc2e6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操作要点</w:t>
      </w:r>
      <w:bookmarkEnd w:id="1066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95c4db-a495-4bee-8b76-98c0c5b5f70a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波段未结束的标志是：只要没有出现-2.3%以上的单日大跌，或MACD在零轴之上没有死叉，就应继续持有。</w:t>
      </w:r>
      <w:bookmarkEnd w:id="1067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ccd793-e7ee-4f79-b65c-06a2994e91c1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若先出现-2.3%的大跌，则以此为准，波段结束。</w:t>
      </w:r>
      <w:bookmarkEnd w:id="1068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08eb2a9-c64e-48d7-9473-c2be299d7a9d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若先出现零轴之上的二次死叉，则也视为波段结束。</w:t>
      </w:r>
      <w:bookmarkEnd w:id="1069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7e0a2e-a71e-47f4-a315-5bd92ba5fd51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以“-2.3%单日跌幅”或“零轴上二次死叉”哪个先出现为准，来决定是否离场。</w:t>
      </w:r>
      <w:bookmarkEnd w:id="107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c434eb846ff418abadabb9f44282553" w:id="107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7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  <w:style w:type="paragraph" w:styleId="正文二级标题">
    <w:name w:val="正文二级标题"/>
    <w:aliases w:val="正文二级标题"/>
    <w:uiPriority w:val="1"/>
    <w:qFormat/>
    <w:pPr>
      <w:spacing w:after="40" w:before="100" w:lineRule="auto" w:line="240"/>
      <w:ind w:left="0" w:right="0"/>
      <w:jc w:val="left"/>
    </w:pPr>
    <w:rPr>
      <w:rFonts w:eastAsia="Source Han Sans CN Medium" w:ascii="times New Roman"/>
      <w:sz w:val="36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2026-05-02T18:07:15Z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59x4l2xKRWkh9UaqTkav/IHJXkcsxWYmyiTaFDtxgo=","ProduceID":"ai_zongjie:a3d2b399cc843a0a8314084a7f04d5f6","ReservedCode2":"w59x4l2xKRWkh9UaqTkav/IHJXkcsxWYmyiTaFDtxgo=","PropagateID":"ai_zongjie:a3d2b399cc843a0a8314084a7f04d5f6","ContentProducer":"001191440101MA9Y9T4H7A00000"}</vt:lpwstr>
  </property>
</Properties>
</file>