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1441daf109841678fae166aebae480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识别高位破位风险的核心技术要点，重点强调日线级别跌破黄线（即关键趋势线）作为强制离场信号，并通过十张典型图表案例系统讲解了高位放量滞涨、击穿对手盘、空头趋势确认等危险形态的识别与应对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940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2c5ebc600e848b4b2ee01c0239e5a3b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核心原则：高位跌破黄线必须离场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18d512-0de0-4a12-bfcd-dfb601f825d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历史最高价位置或周线级别历史高位，如赛赛、青花、IBM、微软、亚马逊、Nike、理想汽车、中国南车、韩寒王、华润微等案例均处于周线历史高位区间。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d11909-0cdd-4d78-8f2d-b7bbd54d84b8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指代周线趋势线（亦称“家里的黄线”），是判断多空强弱的核心支撑/压力线；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高位不能跌破黄线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，一旦跌破即触发强制离场机制。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002c16-07a5-4e92-bcb2-4318613e977e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执行标准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a9662f-745d-463a-9844-afb9c8326e1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跌破第一根即走，不纠结、不等待反弹；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d8c09bb-a1ab-4779-969f-da5ebee03d4b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若已跌破两根阴线（如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），则属严重破位，必须立即清仓；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29629c-f4bc-400c-9a5a-02bcee44c5c5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“牛股不跌破黄线”，越强势标的对黄线支撑要求越高，跌破即失效。</w:t>
      </w:r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01a08bb90f64f3b854d4a6e22d634b3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十张典型危险图谱解析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27649d-fb2a-4422-b8a9-b64f629aa78d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第一张图：赛赛（S1S） 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db02b7-aaa7-4dba-a168-6832e78ab92d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高位放量滞涨，美股与A股逻辑不同，但S1标准统一；单根放量即为预警信号。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2636613-2e16-461d-a3b6-e59e0f42ce4a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第二张图：青花 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6e5dc8-4ca0-41d3-b906-0a8e72af56e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205位置破位，确认黄线压力位失效，图形与赛赛高度一致。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f84c266-948c-46ae-87b7-f4ad4675fc9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第三张图：IBM &amp; 微软 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f0d491-ffdb-4c60-a856-06da8b82304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微软若未在破位阴线及时离场，则后续下跌21%，印证“大江东去，滚滚长江东逝水”。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23efde-032f-4232-a7d5-4b836d566405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第四张图：Amazon（亚马逊） 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03163e-004d-4bff-95d2-53447a86fbe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周线历史高位，右侧设为周线图可直观识别；高位防线一旦破位，“一根跳空放量即撤”，不赌反弹。</w:t>
      </w:r>
      <w:bookmarkEnd w:id="101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6372ea-a262-49f5-aa2f-e51f1744f2d8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第五张图：Nike（耐克） </w:t>
      </w:r>
      <w:bookmarkEnd w:id="101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dc1f28-7636-41a3-87a9-00494fb94501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2020年2月24日日线跳空下杀至周线趋势线（黄线），属高位破位经典案例，须无条件离场。</w:t>
      </w:r>
      <w:bookmarkEnd w:id="102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0a2192-c1a7-4064-9a7c-a00ef247b1c9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第六张图：米尔（Mile） 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15fc0c-c51e-450e-9219-dd04128d8041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周线大发散，半年三倍涨幅（16→61），白线拐头向下，黄线承压；高位开花后“不上就下”，破位即走。</w:t>
      </w:r>
      <w:bookmarkEnd w:id="102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5685f5-ce47-4449-ac2e-b9bb92fe70a8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第七张图：理想汽车港股 </w:t>
      </w:r>
      <w:bookmarkEnd w:id="102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feca22-4418-4bd0-9a50-65eea3f24a46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2024年5月至今区间属反弹行情，任何日线跌破黄线即拍掉，因“下跌趋势中不存在击穿对手盘，每一次突破都是套人”。</w:t>
      </w:r>
      <w:bookmarkEnd w:id="102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9ea6df-b471-487e-ad6c-0cd84bcca577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第八张图：中国南车 </w:t>
      </w:r>
      <w:bookmarkEnd w:id="102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5122b3-266c-447a-8d72-17605956679a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十倍涨幅（0.65→6.76）后空头排列成型，高位跌破黄线即为血泪教训起点；“两根下来之后一定要走”。</w:t>
      </w:r>
      <w:bookmarkEnd w:id="102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6661877-916f-4d7b-bb38-ef6492f86203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第九张图：东阿阿胶 / 韩寒王 </w:t>
      </w:r>
      <w:bookmarkEnd w:id="102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be2ba44-4e6f-44cb-985f-3d02d1aa652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第十张图：综合高位破位模型 </w:t>
      </w:r>
      <w:bookmarkEnd w:id="102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16832f-1d49-4b0f-9539-0a1e7b0325fc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高位横盘后跌破黄线，属“击穿对手盘”或“阶段性见顶”双重风险；若次日未创新低且反弹，则为假破位，否则即真衰竭。</w:t>
      </w:r>
      <w:bookmarkEnd w:id="102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0d2f1d-e59b-4951-ae9e-7affd16621f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总结所有高位日线破位共性：黄线失守+绿柱（阴线）出现+白线同步确认压力，构成“双保险离场信号”。</w:t>
      </w:r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c56fb2ddf2414bb66f654d756b06df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击穿对手盘与衰竭点辨析 </w:t>
      </w:r>
      <w:bookmarkEnd w:id="103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dc2acf-fbb8-49a4-8f69-327c174706c1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击穿对手盘本质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是空方对多头恐慌盘的最后一击，原理为“极度恐慌→衰竭→最后一根绿柱”，常见于第3–7根绿柱末端（如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九根绿柱衰竭后反转）。</w:t>
      </w:r>
      <w:bookmarkEnd w:id="103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7678af-f5a7-416d-827b-73f95bad04b0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关键区分标准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69425c-2156-476a-ae0c-69e7cd729996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第一根破位阴线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：空多翻空起跌信号，力量最强，必须离场（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3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569db5-6e62-413b-9167-2c94f2b2200d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非第一根破位阴线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：属衰竭末期，可忍一根观察，但“只忍一根儿”，超限即走（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3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69bc50-f5a3-4e5f-b74b-3f0627a7f380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事后确认陷阱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：击穿对手盘需事后验证，交易必须先验，“拿到事后已跌没”（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97f6613eb114d50bd4ad2801a6de15a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操作纪律与仓位管理 </w:t>
      </w:r>
      <w:bookmarkEnd w:id="103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186f9c4-bfb9-4550-a780-d9360229697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持仓结构铁律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6901c4-610c-4c0c-8528-3479f4a0d79a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仓内所有个股必须满足：股价 &gt; 黄线 &amp; 白线 &gt; 黄线；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30343e-869c-4c2f-af9d-7ec4b230b78a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黄线之下个股一律清仓，不恋战、不抄底（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1a2f1e-afa8-46e5-9f69-b3c6fba2f903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“高手死于抄底，新手死于追高”，坚持“跌破黄线先拍，拍错也要拍”（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4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149f93-dc37-4e8f-bf69-548652ebbb8b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新人与老人策略差异</w:t>
      </w:r>
      <w:bookmarkEnd w:id="104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bd7ef6-02f2-4e30-86de-95e6b251829a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新人账户“留钱不留股”，快进快出，无成本优势者必须严格止损（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ae61c0-af4e-4b98-80a1-fb37e5423905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老人可凭低位成本优势持有，但须确保周线B1低点未破（如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队长案例）。</w:t>
      </w:r>
      <w:bookmarkEnd w:id="104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854865-66f5-4a90-8ad7-f1f68e6a0b89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周期匹配原则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0f4e34-0f62-45a2-b5ad-ece3b3cb8943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日线操作：跌破黄线即走；</w:t>
      </w:r>
      <w:bookmarkEnd w:id="104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38f299-627f-4d9b-8c38-e811fd8b2cc1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周线操作：以周线B1低点设止损，跌破即离场（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4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1dcd52-413e-4599-8c54-6911b78baf78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“永远保持仓里一打开，就都是白线在黄线上、股价在黄线上”的健康结构（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d4e511f72c54137b18648b2315865d6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市场阶段判断与宏观警示 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487f70-c68c-454d-81dc-f51d797414e6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当前市场定性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32ee2f-2e39-4651-861d-d1b0f484ae59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“过渡年”（2025年），AI科技革命处于泡沫初破后真实落地前夜，类似2000年互联网泡沫→高铁10年启动→14年爆发路径（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48c564-1e66-4c72-aff6-5720d2f027d0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美股科技股已分化，A股高位科技股面临“老美先撤、百岁山提前打算”风险（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5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9d06b6-552d-422d-875e-9f105c61763a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结构性行情应对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17e0d2-e470-4e84-8fff-38c819171cbc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拒绝预测日K线，“大盘还在下跌，没人会认为航天发展是龙头”（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5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1e2df4-735f-424a-b529-3d8c5be18e68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聚焦周线趋势：“一月份打窝，二月份调整，三月份二次金叉主升”（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），动态跟踪MA洗地、扭扭进程（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5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747397-b4cf-4861-a49e-363823d15a9b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终极生存法则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6b8289-0d37-49e0-972b-7cdce7ba4ee1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“把十张图记下来，什么时候来不知道，但先储备着”（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5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e37b1b-484f-4f97-bc7d-0f9c49661ae8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“你永远都保持仓里是这种玩意儿……黄线不能再跌破”（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）；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c1f32a-03ec-451b-bff7-0a156efc2984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“不要学别人抄底，不要学我拿住不动”（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），因“绝大部分人尚未具备长线水平”（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5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6f3d9361367465cb1248bb584e833ae" w:id="106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2026-05-02T18:18:06Z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aBIl9SP//DniiJSfeUzCpVz9pFpK4Sa+wCKxuVPK1Q=","ProduceID":"ai_zongjie:1b5268e092c5350dbd12482df2b7c71c","ReservedCode2":"TaBIl9SP//DniiJSfeUzCpVz9pFpK4Sa+wCKxuVPK1Q=","PropagateID":"ai_zongjie:1b5268e092c5350dbd12482df2b7c71c","ContentProducer":"001191440101MA9Y9T4H7A00000"}</vt:lpwstr>
  </property>
</Properties>
</file>