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580a353fed014b29871b50796e980569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股票交易中“扭一扭”技术形态（即均线多头排列）的识别与应用，重点解析了B1/B2战法、S1信号判断、黄白线操作逻辑及十张危险图形规避策略，强调短线交易需严守纪律、设止损、不恋战、不感情用事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61468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14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669483c124454bb38ac2a54d2a206168" w:id="100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开场与核心概念引入 </w:t>
      </w:r>
      <w:bookmarkEnd w:id="100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e6496c3-3b11-413d-8f9a-a04016007baf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欢迎与术语铺垫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发言人以“Welcome home”开场，引出“饱吹饿唱”俗语，并类比为“吃饱了才有力气吹牛逼”，暗示直播间风格为轻松但专业、重实操的交易分享。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71e0a74-8566-4617-ba8e-855a9c4a656d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战法灵感来源与历史案例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提及“少妇战马战法”灵感源于舅妈；举例后某朴/后某普、老许、新湖中宝、中国平安等标的，强调长期轮动策略：从2005/2007年起持续持有中国平安与新湖中宝至2017–2019年，验证低位大票稳定盈利逻辑。</w:t>
      </w:r>
      <w:bookmarkEnd w:id="100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bed6e97-d3b3-42d0-b625-b4248f6a5c2d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“扭一扭”定义与市场意义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“扭一扭”即均线由缠绕杂乱状态转向短、中、长周期均线有序向上发散，形成多头排列；分低位多头排列（横盘区间启动，概率优势高）与高位多头排列（仅可搏一把，需严格设止损）。</w:t>
      </w:r>
      <w:bookmarkEnd w:id="100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4b6bbff411714abbb2b94fb3f51e94fc" w:id="100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技术工具详解：黄白线与均线系统 </w:t>
      </w:r>
      <w:bookmarkEnd w:id="1007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8181546-6b90-4e60-a097-c1cf09136c53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黄白线本质与使用禁忌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黄白线为专属交易系统（6月4日源代码可下载），代表动态成本均线；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严禁将黄白线视为静态支撑位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，必须等待价格“确认”（即有效站上或跌破）后才具操作意义。</w:t>
      </w:r>
      <w:bookmarkEnd w:id="1008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fee94fb-162d-4ea4-ab00-c5fbf963cdab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均线层级与确认逻辑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均线是市场交易者博弈形成的成本均线，非CYC指标；短周期均线须在上，逐步发散至中、长、超长周期；突破240周长期压制线后，首要任务是“擦线”——即让短周期线（如30周线）上穿中周期线（如粉线）。</w:t>
      </w:r>
      <w:bookmarkEnd w:id="1009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1661a23-e929-4d2a-9dd6-88bcb750eeb9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“擦线”两种路径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10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fdbe4ec-6fdc-4f5f-9805-1490dc319814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生拉硬拽式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：带量快速拉升，使白线上穿粉线，但易触发A杀，需配合S1信号验证；</w:t>
      </w:r>
      <w:bookmarkEnd w:id="1011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92ff248-642a-47b5-99fb-a7afc179b91d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时间换空间式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：横盘震荡两月，靠时间自然抬升白线完成上穿，更稳妥。</w:t>
      </w:r>
      <w:bookmarkEnd w:id="101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d8813209c6314f4186f1105d6e23b6b7" w:id="101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关键信号：S1识别与失效机制 </w:t>
      </w:r>
      <w:bookmarkEnd w:id="1013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6559fde-80c6-464a-b031-6fcb8c49d51e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S1成立条件与确认流程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S1为放量大阴/大阳K线，需满足：①发生在次高点或高点；②带量突破关键位；③次日价格回踩并站稳。例：荆轲刺秦周线突破绿线后站稳，即为有效S1。</w:t>
      </w:r>
      <w:bookmarkEnd w:id="1014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717d9c6-2b1a-492d-8b42-022711f060c8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S1失效规则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若后续出现更高价放量K线并成功站稳，则原S1自动cancel（失效）；原S1仅对当时位置有效，不可跨周期套用。</w:t>
      </w:r>
      <w:bookmarkEnd w:id="1015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c09a932-cec4-4b3a-bb89-7a500e368e37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S1与B1联动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专精图交易聚焦“局部完美”，S1非绝对前提；B1核心是异动+高位缩量+钩大幅值，实体阳线为佳，上影线仅约束B2单根K线本身（要求无长上影），不追溯前序K线。</w:t>
      </w:r>
      <w:bookmarkEnd w:id="101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32c9af00fc2d4e39acea2fd29753f81c" w:id="101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战法执行：B1/B2操作细则 </w:t>
      </w:r>
      <w:bookmarkEnd w:id="1017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90f158b-7cca-456d-8da4-b8f1e002d82a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B1核心要素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异动（单日涨幅≥4%）→ 高位缩量回调 → 钩大幅值（负值深度）；本质是主力控仓成本控制，非单纯看涨。</w:t>
      </w:r>
      <w:bookmarkEnd w:id="1018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8e730eb-3024-4ec2-9904-dda49d3153ef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B2核心约束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B2单根K线须为中长阳（涨幅＞4%），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实体部分饱满，上影线极短或无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；禁止选择前序K线呈“蜈蚣图”（密集长上影）、“大苗子”（多根长上影堆叠）形态。</w:t>
      </w:r>
      <w:bookmarkEnd w:id="1019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88dfe96-61b7-442d-8d20-b44d36554c74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砖形图定位逻辑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解决“中间上车”问题，聚焦短线爆发力转折点；买入点在白线/黄线位置启动的红砖，卖出点为次日9:33–9:37未拉升即离场，或首根盈利达5%即止盈。</w:t>
      </w:r>
      <w:bookmarkEnd w:id="1020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aa63baa6b4bd4adba1e8f9de384ee4dd" w:id="1021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十大危险图形警示 </w:t>
      </w:r>
      <w:bookmarkEnd w:id="1021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5e77326-1a4c-4278-8094-d4f27d643c0d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第一张图：青蛙205破位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日线击穿黄线若无法当日收回，即为空头排列确认；周线级别已空头（最小周期均线在最下），破205必须止损，无论次日是否反弹。</w:t>
      </w:r>
      <w:bookmarkEnd w:id="1022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31f203c-bc6f-4a40-96bc-bc750884c0a9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第二张图：跳空破黄线（如赛赛）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高位跳空跌破黄线，最多等一根K线收回，否则立即离场；理论依据为“免得”高位获利盘兑现，非技术反弹逻辑。</w:t>
      </w:r>
      <w:bookmarkEnd w:id="1023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fe62506-d915-4a26-8089-9746e2efb7f6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第三张图：美股高位破位（如IBM）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黄线破位叠加周线长期上涨、获利盘巨大，属绝对高位，严禁抄底；操作原则为“不涨即拍”，只做交易不做持有。</w:t>
      </w:r>
      <w:bookmarkEnd w:id="1024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4838933087974bed933c0025d06d6f56" w:id="1025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交易哲学与纪律重申 </w:t>
      </w:r>
      <w:bookmarkEnd w:id="1025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afddaff-c981-4d97-9775-c0e4feda0026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反人性铁律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股票无感情，所有标的仅为交易工具；亏损时“只输一根”，盈利时“不因小利动摇仓位”；反复强调“不要跟自己较劲、不要跟别人较劲”。</w:t>
      </w:r>
      <w:bookmarkEnd w:id="1026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6fcd619-0b9a-4387-846c-ad97b15a54de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风险优先原则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空头趋势票（周线空头排列）与高位发散票（长期上涨后破位）均属禁区；宁可踏空，不可错杀。</w:t>
      </w:r>
      <w:bookmarkEnd w:id="1027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834ece2-38ca-4d28-9af2-9687a519e6e6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复利心法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短线本质是“进三退二、进四退五”的枯燥积累，月均10%复利即可两年翻倍；拒绝幻想单日暴利，专注模式内高胜率机会。</w:t>
      </w:r>
      <w:bookmarkEnd w:id="1028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8a31d47050d748fa8d1e925cd6bce625" w:id="1029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29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2026-05-02T18:17:33Z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8jMbkA7YLHr1hSBsgxULZiAAEJaQj+M9BA9VkBT6dz0=","ProduceID":"ai_zongjie:26e05a2531e9ea013689922db187ed3d","ReservedCode2":"8jMbkA7YLHr1hSBsgxULZiAAEJaQj+M9BA9VkBT6dz0=","PropagateID":"ai_zongjie:26e05a2531e9ea013689922db187ed3d","ContentProducer":"001191440101MA9Y9T4H7A00000"}</vt:lpwstr>
  </property>
</Properties>
</file>