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812876588b3424985d5538e571276c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“白线在黄线之上”作为核心选股与持仓纪律的原则，以及B1建仓波识别（涨幅与换手率双30%原则）和分时图30秒诱多/诱空洗盘识别两大关键技术点，并强调风险控制优先、概率思维和交易纪律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064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01075f42a7647a2b985736270faa7a6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核心交易原则：白线在黄线之上的共振纪律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31c72b9-e709-408c-90ee-7cb79912ace1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大盘黄线交易价值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上证指数黄线具有交易价值，当白线在黄线之上且价格未跌破黄线时，执行“去弱留强”策略。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21a373-7ee1-43b1-8b93-ea82bda804e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共振逻辑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大盘与个股需同步：若大盘白线在黄线之上反弹，个股亦应在白线在黄线之上且不跌破黄线，方可形成共振；否则视为弱势，应清仓。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36535fe-eb8b-42db-a183-9d7ff3e907c2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右侧交易纪律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当前阶段只持有白线在黄线之上、股价在黄线之上的个股；若个股离白线过远，无论是否涨停，均应卖出；仅一字涨停可豁免。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9a9f572-80f2-4af1-b319-d46b94010cdc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止损与风控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若个股跌破黄线，立即卖出；若大盘处于震荡区间，可画箱体线，跌破箱体下沿即走；任何不确定时，优先防守，宁可踏空不可套牢。</w:t>
      </w:r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160b88a7cce4b169deb5634ce260af2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B1建仓波识别：双30%正态分布法则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e4b08e1-4850-4c56-a6ad-866eedf7d14c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B1定义与标准图形（娜娜图）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B1指主力底部建仓启动点，理想形态为“娜娜图”：底部放量阳线→次日缩量→第三日再放量拉升，全程无跳空，斜率平缓，换手率集中于30%附近。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505329-0456-44ee-9810-8e29087ebb0a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涨幅阈值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建仓波单波或累计涨幅以30%为最优，极限不超过40%；超40%（如汤姆猫25.83%调整后达40%振幅）视为异常，大概率非健康建仓。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189e2f-dbb9-4191-ba6c-7019988f1cec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换手率阈值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阳线累计换手率以30%为最佳正态分布峰值；40%属可接受上限；超50%（如乐心医疗90%、风华高科80%）即判定为“废太子”，主力建仓意图存疑或已结束。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af352e-e59e-4194-8106-59776f821d8b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跳空禁忌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建仓阶段严禁跳空：向上跳空必为进攻而非建仓，连续跳空更不可信（如广俐葳三根跳空+累计近50%换手率，直接剔除）。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e29533-03c9-4725-9e9b-3a005f63c674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量价结构原理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健康建仓必为“底部堆量、高位缩量”：主力在低价位大量吸筹，拉升时惜售；若高位放巨量（如网速四百多亿盘子高位100%换手），则属出货而非建仓。</w:t>
      </w:r>
      <w:bookmarkEnd w:id="101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ad341f3070749b1bec327ac7f19d622" w:id="101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分时图洗盘识别：30秒诱多/诱空标准 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1b28b9d-ea3d-4e04-8c59-d9083dbd10d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30秒异动定义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开盘30秒内股价快速拉升（如联特科技30秒拉6%）或下杀（如行动教育30秒杀至-3%），伴随放量，为典型洗盘信号。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b7152b-a87f-405a-9836-c9e61bd4d7b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洗盘与出货判别</w:t>
      </w:r>
      <w:bookmarkEnd w:id="101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f022e39-06f5-4ee7-bdc2-3de44f4f91a2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：30秒拉升后回落至零轴附近（±1%），收盘呈小十字星；或30秒下杀后迅速收回至零轴，说明主力控盘，筹码未大规模出逃。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740cea-ddc9-4504-a1ff-933677f27fa9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出货特征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：30秒拉升后放量长阴跌破黄线，或30秒下杀至-4.5%以上且无法收回，当日即需清仓。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56af3f0-c6e0-413b-82f4-0d5f66232d0c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高开洗盘逻辑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跳空高开封板（如行动教育）是明确洗盘信号：主力通过高开制造踏空焦虑，逼迫散户追高后打压，次日再拉涨完成换筹。</w:t>
      </w:r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3b9bc30ec8a4cbeb1b9cb3185fedb7d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进阶风控工具：S1阶段顶与四分之三量线 </w:t>
      </w:r>
      <w:bookmarkEnd w:id="102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fd3dd6-d788-4498-aa88-d7bbcd5788e9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S1阶段顶识别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S1指阶段性顶部信号，表现为放量长上影线或天量阴线；一旦出现，无论盈亏，必须减仓（如特锐德S1出现即走一半）；若后续突破前高并放量，则S1失效。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098e95-84a9-45c2-9ab1-e505e0e4d7e7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四分之三量线（4/3量线）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标准形态为：股价突破前N日高点后，次日收出一根放量K线，其成交量达前N日均量的3/4以上，且涨幅微正（如+0.2%）或微负（如-0.13%）；此为强离场信号，须果断执行。</w:t>
      </w:r>
      <w:bookmarkEnd w:id="102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febc20-3de5-4d77-880b-f4982a48feb4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破位处理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跌破关键支撑位（如箱体下沿、前低点）即走；若跌破后快速收回，可视作假破位，但需严守二次跌破规则（如河望跌破27.72块即全走）。</w:t>
      </w:r>
      <w:bookmarkEnd w:id="102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e7664423b794c32b1bb931097ccb027" w:id="102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特殊标的处理与认知边界 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621d9bd-71ac-441e-ad37-5d379e1e9691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大盘股与换手率豁免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中石油等超大盘股（流通市值超万亿）不适用换手率法则，仅观察绝对成交量柱长短及历史量能对比。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79d373-3a7a-4880-a552-a004eb1f21e0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筹码峰无效性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牛市中筹码峰无指导意义：因博傻资金持续涌入，筹码峰上移不等于出货（如旭创、航天发展多次峰移后仍上涨）；仅熊市下跌中，筹码峰指示反弹阻力位（如万科双峰结构）。</w:t>
      </w:r>
      <w:bookmarkEnd w:id="102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bddbd31-7bb5-42a7-bbae-1ff11760054e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概率思维本质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所有方法均为提升胜率的概率工具（如双30%法历史回测胜率约70%），非100%确定性；交易者须接受“二选一买错”的常态，坚守纪律比追求完美更重要。</w:t>
      </w:r>
      <w:bookmarkEnd w:id="102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51c40f8419549ac915f8a34952e7de6" w:id="102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28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2026-04-28T13:12:59Z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/+WYMmNk4oN/gjr+tr0Sk8GbLXzozTt77rfOX41fE+0=","ProduceID":"ai_zongjie:adf1429d8df7f9f384ffb25114877407","ReservedCode2":"/+WYMmNk4oN/gjr+tr0Sk8GbLXzozTt77rfOX41fE+0=","PropagateID":"ai_zongjie:adf1429d8df7f9f384ffb25114877407","ContentProducer":"001191440101MA9Y9T4H7A00000"}</vt:lpwstr>
  </property>
</Properties>
</file>