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ps="http://schemas.microsoft.com/office/word/2010/wordprocessingShape"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27c3e5ae5b5b4a08ae50ae7c3b5433ce" w:id="1001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本视频讲述了股票交易中活跃市值多空区间判断与超短线操作策略，核心强调空头区间“只卖不买”原则，并系统讲解砖形图四块砖周期理论及其在择时、止盈止损中的实战应用。</w:t>
      </w:r>
      <w:bookmarkEnd w:id="1001"/>
    </w:p>
    <w:p>
      <w:pPr>
        <w:pageBreakBefore w:val="off"/>
        <w:tabs/>
        <w:wordWrap w:val="on"/>
        <w:spacing w:before="0" w:after="100" w:line="240" w:lineRule="auto"/>
        <w:ind w:left="0" w:right="0"/>
        <w:jc w:val="left"/>
        <w:textAlignment w:val="auto"/>
      </w:pPr>
      <w:bookmarkStart w:name="" w:id="1002"/>
      <w:r>
        <w:drawing>
          <wp:inline distL="0" distR="0" distT="0" distB="0">
            <wp:extent cx="5270500" cy="4762500"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02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fc950f69c0004396bcff973dec48e0c5" w:id="1003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活跃市值的多空区间本质 </w:t>
      </w:r>
      <w:bookmarkEnd w:id="1003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50c4f0f8-da7b-4bb9-9f44-87c287029891" w:id="100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多头区间与空头区间的定义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活跃市值多头区间：外部增量资金入场，将银行存款变为股票筹码，推动市场上涨。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活跃市值空头区间：场内存量资金（含庄家出货、获利盘兑现）将股票筹码变现为现金，转出市场用于消费、避险或避险，导致下跌压力。</w:t>
      </w:r>
      <w:bookmarkEnd w:id="1004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f4d4eee1-ce70-42a5-9643-c51494e743fd" w:id="100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空头区间的市场行为特征</w:t>
      </w:r>
      <w:bookmarkEnd w:id="1005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9ac259d-c13d-4a64-a84f-c118a414014f" w:id="100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易跌难涨，加速下跌常见（如周一至周三个股崩盘）。</w:t>
      </w:r>
      <w:bookmarkEnd w:id="1006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41fdfd2-5504-4b1e-9d3e-97a53d5601d0" w:id="100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“敢拉就敢卖”——任何拉升均引发对手盘抛压，因最聪明资金集体结账离场。</w:t>
      </w:r>
      <w:bookmarkEnd w:id="1007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9b37d20-c02f-479b-8cc0-39ca22f6ef06" w:id="100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恐慌盘出尽后（如周四），若外部扰动（如美股崩盘）仍可能引发二次下跌。</w:t>
      </w:r>
      <w:bookmarkEnd w:id="1008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ac6af4f0c98a4c6ea17059cc9b39d8d5" w:id="1009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空头区间下的交易纪律与风险警示 </w:t>
      </w:r>
      <w:bookmarkEnd w:id="1009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bbfa24ca-4396-4f8b-8fcb-4c651f2d2788" w:id="101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择时优先于选股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市场处于空头区间时，无论B1、B2或专精图形态多优，首要策略是“只卖不买”，因整体资金流向决定个体胜率。</w:t>
      </w:r>
      <w:bookmarkEnd w:id="1010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b484ba34-b2d1-49ee-b69e-87c6aec45270" w:id="101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新手必须规避的典型错误</w:t>
      </w:r>
      <w:bookmarkEnd w:id="1011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346fb62b-815b-4279-9a8f-a8772d6969ab" w:id="101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在空头区间追涨停（如案例中追B1涨停，单日浮亏20%）。</w:t>
      </w:r>
      <w:bookmarkEnd w:id="1012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bf1aaf8-56d4-4774-8bc0-3e59b672f269" w:id="101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逆势抄底（如高开4%+25倍量比后30秒内暴跌10%）。</w:t>
      </w:r>
      <w:bookmarkEnd w:id="1013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2deb713-eee8-4727-a4b0-d0f2ff9194b3" w:id="101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忽视“锤子线”（下影线长的专精图）——明确禁止操作，因其隐含反转失败风险。</w:t>
      </w:r>
      <w:bookmarkEnd w:id="1014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370991ff-a574-4a67-80b0-7e0d7228a1ef" w:id="101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仓位管理铁律</w:t>
      </w:r>
      <w:bookmarkEnd w:id="1015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beb92774-075c-44e2-93d9-b8ba8ad0e670" w:id="101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空头区间严禁满仓；若手痒，仓位上限建议半仓或更低（如10%试仓），单票亏损容忍度控制在3–5%。</w:t>
      </w:r>
      <w:bookmarkEnd w:id="1016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1f758cd-75c8-415d-986a-cf6552c7806e" w:id="101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“台费少点”——降低交易频率与单笔投入，避免情绪化加仓。</w:t>
      </w:r>
      <w:bookmarkEnd w:id="1017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c6afaef059a149d4bdc6657d695289de" w:id="1018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超短线操作的核心时间窗口：9:33与9:37 </w:t>
      </w:r>
      <w:bookmarkEnd w:id="1018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4d8c7418-c8d1-473a-a536-23fbd8c544a2" w:id="101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买入决策依据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超短线买入不依赖尾盘，而以次日早盘集合竞价（9:25）后、9:33及9:37两个关键时间点为行动信号。</w:t>
      </w:r>
      <w:bookmarkEnd w:id="1019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b39bdb72-2849-42c6-8a3c-ae0e57cda54d" w:id="102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卖出刚性规则</w:t>
      </w:r>
      <w:bookmarkEnd w:id="1020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a15164b-1831-4b8d-9cbc-5014ca68ab30" w:id="102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若买入次日开盘未高走（如平开/低开），必须于9:33或9:37果断清仓，无论浮亏（如-0.6%至-3%）；</w:t>
      </w:r>
      <w:bookmarkEnd w:id="1021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dd00f0f-6807-4d01-8bbe-104b04641e98" w:id="102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若高开后30秒内快速拉升5%，禁止追涨，因大概率“蹦极式”回落；</w:t>
      </w:r>
      <w:bookmarkEnd w:id="1022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381e233d-7d2f-4069-8707-13edfa9a9a1c" w:id="102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封板则持有不动；若封板后次日低开，9:33跌破黄线即刻卖出。</w:t>
      </w:r>
      <w:bookmarkEnd w:id="1023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ef9093c3aca54474a6e1a95d8debea1b" w:id="1024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砖形图四块砖周期理论 </w:t>
      </w:r>
      <w:bookmarkEnd w:id="1024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ea6b68b5-1ca3-429f-a7b6-757ed2026f32" w:id="102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理论来源与本地化适配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源自威尔德（Welles Wilder）三角洲战法，核心基于“4”循环：地球自转4周（4天）、农历年潮汐（12个月）、公历年（4年）、超长期（19年）。A股实战中仅聚焦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4天短期循环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，参数经历史回测优化为4，非玄学而是数据验证结果。</w:t>
      </w:r>
      <w:bookmarkEnd w:id="1025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4fc9e33-d268-4c1c-963c-9e7b09e681af" w:id="102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四块砖的操作逻辑</w:t>
      </w:r>
      <w:bookmarkEnd w:id="1026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f808e9e2-e24d-49c7-b266-b35e5ad6b32f" w:id="102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从首根红砖起计数：1、2、3、4，第四块砖出现即为变盘点，需高度警惕反转或延续。</w:t>
      </w:r>
      <w:bookmarkEnd w:id="1027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3c89134a-47d5-4aa8-8092-b613b4ed416c" w:id="102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变盘点应对策略：</w:t>
      </w:r>
      <w:bookmarkEnd w:id="1028"/>
    </w:p>
    <w:p>
      <w:pPr>
        <w:pStyle w:val="一级无序列表"/>
        <w:pageBreakBefore w:val="off"/>
        <w:numPr>
          <w:ilvl w:val="2"/>
          <w:numId w:val="4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b588d301-a42b-4240-a81f-747491f128c4" w:id="102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若第四块后出现绿砖，视为预警，应减仓或清仓；</w:t>
      </w:r>
      <w:bookmarkEnd w:id="1029"/>
    </w:p>
    <w:p>
      <w:pPr>
        <w:pStyle w:val="一级无序列表"/>
        <w:pageBreakBefore w:val="off"/>
        <w:numPr>
          <w:ilvl w:val="2"/>
          <w:numId w:val="4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b35089be-fc5b-402f-aa58-e9a9eaf01a55" w:id="103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若第四块后继续红砖且创新高，可延续持仓，但需观察是否形成“4+4”循环（即再4根红砖）；</w:t>
      </w:r>
      <w:bookmarkEnd w:id="1030"/>
    </w:p>
    <w:p>
      <w:pPr>
        <w:pStyle w:val="一级无序列表"/>
        <w:pageBreakBefore w:val="off"/>
        <w:numPr>
          <w:ilvl w:val="2"/>
          <w:numId w:val="4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4fe14b3c-057f-4c8c-adeb-bbe6d1cc11c3" w:id="103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若第四块后创新低，则确认下跌延续，立即止损。</w:t>
      </w:r>
      <w:bookmarkEnd w:id="1031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0a7750cb-f33a-4403-9d69-a4d0cf88fe15" w:id="103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四块砖的容错机制</w:t>
      </w:r>
      <w:bookmarkEnd w:id="1032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b4e69ce-3cec-4648-8818-e189bc0c9a42" w:id="103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允许“红翻绿”提前离场（如第四块为红，第五块转绿即卖），不强求吃满四根；</w:t>
      </w:r>
      <w:bookmarkEnd w:id="1033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bb521a03-7f42-480d-aadc-ba8caec36df9" w:id="103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避免在绿砖阶段盲目抄底，须待红砖重现且站稳黄线后再介入。</w:t>
      </w:r>
      <w:bookmarkEnd w:id="1034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1705d8dec2374a1595376b3e782de759" w:id="1035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B1/B2与专精图的共振策略 </w:t>
      </w:r>
      <w:bookmarkEnd w:id="1035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6efa8f62-3f91-47aa-9fe2-8dc249e6384b" w:id="103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空头区间优选标的</w:t>
      </w:r>
      <w:bookmarkEnd w:id="1036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b62ccf5-5f20-4eea-98c3-76a0fd1cff03" w:id="103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B2与专精图共振 &gt; B1与专精图共振，因B2已获增量资金验证，爆发力更强；</w:t>
      </w:r>
      <w:bookmarkEnd w:id="1037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403ad15-8437-448a-bb8f-00c421261bb4" w:id="103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B2涨幅宜控制在4%以内，避免涨停板（止损空间过大，如涨停+前日阴线致止损达12%）。</w:t>
      </w:r>
      <w:bookmarkEnd w:id="1038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67f4630a-585a-448a-9c3c-ccbde0b9b79d" w:id="103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B1的局限性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B1在空头区间胜率低，因其依赖后续B2/B3接力，而当前资金无意愿接棒，故“B1确定性不如B2”。</w:t>
      </w:r>
      <w:bookmarkEnd w:id="1039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2cdb2ae671384881bd5d25c8c8f9b1d2" w:id="1040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实盘案例解析：四块砖的完整应用 </w:t>
      </w:r>
      <w:bookmarkEnd w:id="1040"/>
    </w:p>
    <w:p>
      <w:pPr>
        <w:pStyle w:val="一级无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f8e15eab-6c29-4dbd-adef-4e5df444bd1f" w:id="104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标准四块砖盈利模型</w:t>
      </w:r>
      <w:bookmarkEnd w:id="1041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a7f157b-4654-493a-bfe5-631f6f1df8c9" w:id="104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案例：红长绿短专精图→1/2/3/4块红砖连续出现→第四块后绿砖→当日清仓；</w:t>
      </w:r>
      <w:bookmarkEnd w:id="1042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1dbb2e3-ebfd-4164-bb29-4533a4ba2158" w:id="104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结果：规避后续下跌，锁定利润（如15%浮盈后放飞）。</w:t>
      </w:r>
      <w:bookmarkEnd w:id="1043"/>
    </w:p>
    <w:p>
      <w:pPr>
        <w:pStyle w:val="一级无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c2de921c-a2e2-482e-b04a-e7528288b72c" w:id="104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非标准情况处理</w:t>
      </w:r>
      <w:bookmarkEnd w:id="1044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eb6ec93d-c0aa-40f4-b425-2902534cd627" w:id="104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四块红砖后未反转，反创新高：视为“4+4”循环启动，可续持，但需严守新变盘点；</w:t>
      </w:r>
      <w:bookmarkEnd w:id="1045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e88ace6-5247-488e-814b-918e1c9a45ef" w:id="104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四块后出现绿砖但未破前低：观察次日是否收红，红则重启四块计数；</w:t>
      </w:r>
      <w:bookmarkEnd w:id="1046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cb9b35c-615e-452b-936d-9f748df87292" w:id="104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绿砖阶段：一律按“绿砖第一块即卖”执行，杜绝侥幸。</w:t>
      </w:r>
      <w:bookmarkEnd w:id="1047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b7d68cecc3b1481cbfbd600396dc2e01" w:id="1048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交易哲学与心理建设 </w:t>
      </w:r>
      <w:bookmarkEnd w:id="1048"/>
    </w:p>
    <w:p>
      <w:pPr>
        <w:pStyle w:val="一级无序列表"/>
        <w:pageBreakBefore w:val="off"/>
        <w:numPr>
          <w:ilvl w:val="0"/>
          <w:numId w:val="7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7233cc3c-e2d2-4f3a-bd2b-904fac6e115b" w:id="104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专注单一范式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如张弛只跑“巴音布鲁克一张图”，交易者应深耕B1或专精图一种战法，成为“XX之王”，拒绝频繁切换策略。</w:t>
      </w:r>
      <w:bookmarkEnd w:id="1049"/>
    </w:p>
    <w:p>
      <w:pPr>
        <w:pStyle w:val="一级无序列表"/>
        <w:pageBreakBefore w:val="off"/>
        <w:numPr>
          <w:ilvl w:val="0"/>
          <w:numId w:val="7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dc7c5a26-7473-49ed-b7c5-9468f5909fbb" w:id="105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纪律即生存底线</w:t>
      </w:r>
      <w:bookmarkEnd w:id="1050"/>
    </w:p>
    <w:p>
      <w:pPr>
        <w:pStyle w:val="一级无序列表"/>
        <w:pageBreakBefore w:val="off"/>
        <w:numPr>
          <w:ilvl w:val="1"/>
          <w:numId w:val="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6bb8737-e7de-4e02-b757-90afc0a414b7" w:id="105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所有操作必须有依据（如四块砖、9:33信号），而非凭感觉；</w:t>
      </w:r>
      <w:bookmarkEnd w:id="1051"/>
    </w:p>
    <w:p>
      <w:pPr>
        <w:pStyle w:val="一级无序列表"/>
        <w:pageBreakBefore w:val="off"/>
        <w:numPr>
          <w:ilvl w:val="1"/>
          <w:numId w:val="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67a60eb-24a8-4f32-90ae-4b192048d67f" w:id="105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接受“踏空”与“卖飞”的必然性，骂主播解决不了问题，提升认知才是根本；</w:t>
      </w:r>
      <w:bookmarkEnd w:id="1052"/>
    </w:p>
    <w:p>
      <w:pPr>
        <w:pStyle w:val="一级无序列表"/>
        <w:pageBreakBefore w:val="off"/>
        <w:numPr>
          <w:ilvl w:val="1"/>
          <w:numId w:val="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336405bf-38ca-4fcc-9cce-9bded8bc8e05" w:id="105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“被办了就用蔡文姬”——遭遇亏损时切忌情绪化报复交易（如射手改玩韩信），坚守原有体系。</w:t>
      </w:r>
      <w:bookmarkEnd w:id="1053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2d8c360f61154a9fabdb12b076fd2cc8" w:id="1054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（内容由AI生成）</w:t>
      </w:r>
      <w:bookmarkEnd w:id="1054"/>
    </w:p>
    <w:sectPr>
      <w:footerReference r:id="rId6"/>
      <w:headerReference r:id="rId7" w:type="default"/>
      <w:pgSz w:w="11900" w:h="16820"/>
      <w:pgMar w:left="1800" w:top="1440" w:right="1800" w:bottom="1440" w:header="840" w:footer="980"/>
      <w:cols w:num="1"/>
      <w:docGrid w:linePitch="312" w:type="lines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中文正文">
    <w:name w:val="中文正文"/>
    <w:aliases w:val="中文正文"/>
    <w:uiPriority w:val="1"/>
    <w:qFormat/>
    <w:pPr>
      <w:spacing w:after="100" w:lineRule="auto" w:line="240"/>
      <w:ind w:left="0" w:right="0" w:firstLine="560"/>
      <w:jc w:val="left"/>
    </w:pPr>
    <w:rPr>
      <w:rFonts w:eastAsia="Source Han Sans CN" w:ascii="times New Roman"/>
      <w:sz w:val="28"/>
    </w:rPr>
  </w:style>
  <w:style w:type="paragraph" w:styleId="正文一级标题">
    <w:name w:val="正文一级标题"/>
    <w:aliases w:val="正文一级标题"/>
    <w:uiPriority w:val="1"/>
    <w:qFormat/>
    <w:pPr>
      <w:spacing w:after="300" w:lineRule="auto" w:line="240"/>
      <w:ind w:left="0" w:right="0"/>
      <w:jc w:val="center"/>
    </w:pPr>
    <w:rPr>
      <w:rFonts w:eastAsia="Source Han Sans CN Medium" w:ascii="times New Roman"/>
      <w:sz w:val="40"/>
    </w:rPr>
  </w:style>
  <w:style w:type="paragraph" w:styleId="一级无序列表">
    <w:name w:val="一级无序列表"/>
    <w:aliases w:val="一级无序列表"/>
    <w:uiPriority w:val="1"/>
    <w:qFormat/>
    <w:pPr>
      <w:spacing w:lineRule="auto" w:line="288"/>
      <w:ind w:left="0" w:right="0"/>
      <w:jc w:val="left"/>
    </w:pPr>
    <w:rPr>
      <w:rFonts w:eastAsia="Source Han Sans CN" w:ascii="times New Roman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styles.xml" Type="http://schemas.openxmlformats.org/officeDocument/2006/relationships/styles"/><Relationship Id="rId5" Target="media/image1.jpeg" Type="http://schemas.openxmlformats.org/officeDocument/2006/relationships/image"/><Relationship Id="rId6" Target="footer1.xml" Type="http://schemas.openxmlformats.org/officeDocument/2006/relationships/footer"/><Relationship Id="rId7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2026-05-02T18:25:09Z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DlneMi2mRbeDOHMqOSCf+LmXTpBfH/1gw/F3XqjVRyk=","ProduceID":"ai_zongjie:69a46bca0263fd603d4b1f17f4348859","ReservedCode2":"DlneMi2mRbeDOHMqOSCf+LmXTpBfH/1gw/F3XqjVRyk=","PropagateID":"ai_zongjie:69a46bca0263fd603d4b1f17f4348859","ContentProducer":"001191440101MA9Y9T4H7A00000"}</vt:lpwstr>
  </property>
</Properties>
</file>