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39cbcaf77794f00a9c6e861d79701f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去弱留强”核心策略的实战应用与深层逻辑，强调在空头行情中通过动态淘汰弱势股、保留并切换至强势股来应对市场风险，并系统讲解了黄线支撑位交易、砖形图数砖法则、低位筹码置换等关键技术要点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9105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b040dbb68da450c9ddd55d630bd7e4a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核心策略：去弱留强的提出与定义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ef6a91-8ade-4c58-8d8b-35db7c532b93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策略起源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上周日与周三教学中首次系统提出“弱留强”操作方法，旨在市场反弹初期识别并保留真正强势个股。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763d068-e1a9-42b9-9390-dc8f8d13664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实践验证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周三梳理后仓内仅余三只标的：一只白线不破即启动；一只兰兰（周一破0但此前多次破黄线，设止损后反弹）；一只勇勇（周五设最低点止损，破黄线未再跌破，次日反弹）。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dcd1c18-912f-4ff5-9338-1dd8ac654d2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本质内涵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“去弱留强”不是主观筛选，而是市场自然淘汰过程：强者恒强（如阿珂、兰兰、煤炭类股），弱者持续承压，通过观察个股相对大盘强度完成客观筛选。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a89af1b4b5041c7bf2023568abd9b2d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关键操作原则：低位筹码置换与纪律执行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270730-dd34-49e0-9bd0-ace2ad77624c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低位筹码保护原则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在相对低位被套时，严禁割掉原始低位筹码，因“洗的就是你”，割仓后反弹将导致踏空与心态失衡。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0504f3-7679-495a-abea-e28200d2430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低位换低位定义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指在大盘进入多头区间后，将原持仓中弱势股置换为新出现的“强壮宝宝”B1标的，而非在空头期高位换仓。例如：贾玲（旧强）换杨幂（新强），绝非赛赛换米儿等同级弱换弱。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182658-6a2f-4a60-9296-34fb586c9a8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纪律性止损机制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所有买入必须设止损：跌破黄线忍一根，收盘未破则持有；若破则坚决离场。不存在“一定一根或两根”的绝对标准，取决于个人风险偏好与主力洗盘意图。</w:t>
      </w:r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621660970d34f9aaf5e3e51d5b256bf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技术工具一：黄线位置的动态判断与交易价值 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0684ed-88b1-4cf3-a419-af5c80727b39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黄线作为市场均值基准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黄线代表短期市场成本中枢，股价远离黄线即界定为高位（上方）或低位（下方），但无绝对高低，需结合波段周期与参照系动态评估。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621b35d-c32f-401f-8790-e627db8ad1f1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黄线交易铁律</w:t>
      </w:r>
      <w:bookmarkEnd w:id="101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ee796f-83c0-4f96-850e-331929afc8a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黄线位置是关键买点，但必须同步设止损；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3d15d5-0656-47ad-8ef3-1a0c20a160ba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白线在黄线下、股价在白线下属纯空头区间，任何反弹均无效；</w:t>
      </w:r>
      <w:bookmarkEnd w:id="101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cd27c8-73a6-45f0-a32b-9bff030c0311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“截断亏损，让利润奔跑”：黄线处买入后若止损，亏损有限；若启动，则大概率成为波段起点。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57d330-4b43-41f1-be0a-0981c004ec36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案例佐证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某票40.5元B1买入，涨至70元；同期另一位置买入者跌破即走，两笔合计仅亏9%，而主仓位盈利超70%，印证黄线策略盈亏比优势。</w:t>
      </w:r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c6691d049504cb996633fc6cb7c95b9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技术工具二：砖形图四块砖法则与执行细则 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8eb454-c9ad-4f2a-97bc-1262cbe9edd4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基本规则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以K线颜色为基准（红/绿），连续数四块同色砖，第四块后高度警惕反转：红砖第四块后若翻绿则立即离场；绿砖第四块后若翻红可试探介入。</w:t>
      </w:r>
      <w:bookmarkEnd w:id="101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3cad22-d45f-4297-8199-1ba3611360cf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执行要点</w:t>
      </w:r>
      <w:bookmarkEnd w:id="102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48fb95-2455-4b97-bb43-e398e36d3f63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必须按颜色数砖，不可混用K线实体与专属砖计数；</w:t>
      </w:r>
      <w:bookmarkEnd w:id="102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cec54f-f9df-46c2-baa2-37d74532f7a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翻色即重置计数，如红→绿→红，需重新数红砖；</w:t>
      </w:r>
      <w:bookmarkEnd w:id="102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6c4f93-c8f2-4676-bbbb-d5e1def7e973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空头趋势中“翻绿必走”，多头趋势中“翻红可赌”，胜率约80%（A股历史回测）。</w:t>
      </w:r>
      <w:bookmarkEnd w:id="102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2c315eb-0974-463d-a179-87e96fa005de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典型失效场景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港股、美股未经验证，仅适用于A股；犬牙交错、堆量无序图形（如长上影+蜈蚣图）应直接放弃，不强行数砖。</w:t>
      </w:r>
      <w:bookmarkEnd w:id="102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409f8758fe548d5969302560500e8cd" w:id="102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策略心理基础：概率思维与反人性训练 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80aaad9-5b7f-40ba-8b50-5594e50eadfc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拒绝线性思维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股市非高考答题，无唯一标准答案。“一根还是两根”“顶还是底”皆无定论，主力利用信众一致性制造波动，成功源于混沌思维而非确定性。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3c9572-12b0-401c-a664-4c6415a9a725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幸存者偏差澄清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当前持仓股集体上涨并非偶然，而是“去弱留强”策略经市场自然淘汰后的结果，是战法有效性验证，非选择性展示。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a6919c4-be59-4c0d-b263-a03d9a1b300f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账户管理本质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交易目标是“活下来并持续进步”，非单次暴利。10万元亏10%（剩9万）远优于亏30%（剩7万），风控优先于择时。</w:t>
      </w:r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5d0806d83d54040895567121400f79b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常见误区警示与纠偏 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ff1169-5419-444a-8d8f-01700662871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误区一：反弹期误用“去弱留强”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该策略专用于大盘空头区间下杀阶段，非反弹期调仓指令。反弹时强行换仓至“看似强势”但实为空头区个股（如白线下的弱反弹票），等于高位换高位。</w:t>
      </w:r>
      <w:bookmarkEnd w:id="103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751fa3-abca-459e-9cc4-7aad9d00527a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误区二：混淆“低位筹码”概念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“低位”指波段内相对位置（如距黄线距离），非绝对价格。4100点买入即为高位，1149点买入即为低位，成本决定持仓底气。</w:t>
      </w:r>
      <w:bookmarkEnd w:id="103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fd5ce7-c181-4d02-aaca-8155fe81df67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误区三：迷信完美图形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B1/B2/专精图无优劣之分，只适配不同性格：B1稳、B2进阶、专精图搏爆发。新手宜从B1起步，专精图需承受高波动（如20cm标的单日±6.78%）。</w:t>
      </w:r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bafacfb39bd4f98973c78e8821a4bb0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终极行动纲领：只卖不买与动态应对 </w:t>
      </w:r>
      <w:bookmarkEnd w:id="103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39158a-4d06-48ad-a7f2-d5ba0de09331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空头区间铁律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活跃市值翻红前，执行“只卖不买”，所有操作围绕止损展开：S1卖、滴滴卖、破黄线卖、破白线卖。</w:t>
      </w:r>
      <w:bookmarkEnd w:id="103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b04ce2b-02e0-4e02-a0af-2ade427d256c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多头区间切换信号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待大盘整体翻红、白线站上黄线后，方可启动“低位换低位”，即用原强势股置换新出现的B1级强壮宝宝。</w:t>
      </w:r>
      <w:bookmarkEnd w:id="103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65df7c5-0ba3-42b3-b871-0cf42ca8eef1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结语核心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“时间筛掉不属于你的东西”，交易是认知变现过程。听懂→理解→执行→复盘，缺一不可；所有战法已公开，盈亏取决于是否严格遵守纪律。</w:t>
      </w:r>
      <w:bookmarkEnd w:id="103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681f2fcb8a34ce0b59e5591a7e22eda" w:id="103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2026-05-02T18:29:13Z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YJNSgOtnzUCYYwcNn8tPudLu5cRK6ZpUmAgbEzK7ow=","ProduceID":"ai_zongjie:fc26e32804ef3e4ad91d8359fc076e3b","ReservedCode2":"IYJNSgOtnzUCYYwcNn8tPudLu5cRK6ZpUmAgbEzK7ow=","PropagateID":"ai_zongjie:fc26e32804ef3e4ad91d8359fc076e3b","ContentProducer":"001191440101MA9Y9T4H7A00000"}</vt:lpwstr>
  </property>
</Properties>
</file>