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64e1c0ee24e54de692d2eb5aa20fc114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股票短线交易中基于“砖形图”（专精图）的三种核心K线定式（N型起跳、横盘起跳、上升波段延续）及其严格纪律性操作方法，强调通过数四块红砖执行减仓/清仓、遇绿砖即走、不纠结踏空与遗憾等实战原则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56769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db9e56b2b2c24f68a16823745882448b" w:id="100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引言：交易心理与经验积累 </w:t>
      </w:r>
      <w:bookmarkEnd w:id="1003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0e6cc01-1778-4142-8876-4c49589f17b6" w:id="100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交易心态本质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失恋次数从第一次痛不欲生到第48–50次已无所谓，类比交易：经历足够多（如交易一千笔、一万笔）后形成肌肉记忆，无需技术，唯靠重复训练。</w:t>
      </w:r>
      <w:bookmarkEnd w:id="100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1cc9488-8a1b-4d1b-8834-93715f419e2d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情绪稳定前提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选股标准为“完美、情绪稳定、好看、懂事儿、听话、乖、不闹”，若任一条件不满足则“没有就下一个”，体现绝对筛选逻辑。</w:t>
      </w:r>
      <w:bookmarkEnd w:id="100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5e9dc1a-11a9-4758-be5a-e38dac7a9372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核心隐喻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“庖丁解牛”强调熟练度——非靠技巧，而靠高频实践；“初恋”比喻首笔交易需纯粹专注，避免过早接触极端案例（如“初恋就是杨幂”）导致认知失衡。</w:t>
      </w:r>
      <w:bookmarkEnd w:id="100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ad350be630794940ad7e620c89cd466a" w:id="100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三大定式详解 </w:t>
      </w:r>
      <w:bookmarkEnd w:id="1007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ef3d887-fc6b-458c-af63-54922b9aaf2a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定式一：N型起跳 </w:t>
      </w:r>
      <w:bookmarkEnd w:id="1008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c881cda7-19d6-4930-88e4-18796d6f8ed9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结构定义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K线形态为“低点→高点→低点→转折向上”，即N型结构，转折点处出现红砖（大阳线），该红砖为第一块有效红砖。</w:t>
      </w:r>
      <w:bookmarkEnd w:id="1009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2859b2c-150b-49a7-ada1-5473e2ba7387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关键特征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红砖必须位于N型底部转折位，且需“记住这种红砖”，是定式识别起点。</w:t>
      </w:r>
      <w:bookmarkEnd w:id="1010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8a027eb-4423-4495-bad3-719b2d38adfa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定式二：横盘起跳 </w:t>
      </w:r>
      <w:bookmarkEnd w:id="1011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4a87922-9064-4027-8191-2fb1b6618c52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结构定义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价格在某一区间横向震荡后突破，突破位置出现红砖，尤其当红砖下方有“大块红砖压绿砖”时成功率更高。</w:t>
      </w:r>
      <w:bookmarkEnd w:id="1012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b5db30b-dc0e-4bd8-8238-fadf34628fe3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操作要点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买入后须确认突破有效性：若未突破又回落，则“别抖，不要期待”；成功突破后可获20%–30%涨幅。</w:t>
      </w:r>
      <w:bookmarkEnd w:id="1013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7ca4aa4-c3e9-432e-8df6-f6c149c0d8f5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定式三：上升波段延续 </w:t>
      </w:r>
      <w:bookmarkEnd w:id="1014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010ae95-483d-45d4-8388-2b48488ebfb7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结构定义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价格持续上行，无显著回调，表现为“一翻绿马上翻红”的连续节奏，非突破形态，而是趋势惯性延续。</w:t>
      </w:r>
      <w:bookmarkEnd w:id="1015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c525a7c-5765-4106-ba79-ce2ec8cff3b4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识别标志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中间仅1–2根K线，红砖密集，无N型或横盘结构；该位置红砖称为“定式三”，需与定式一、二区分。</w:t>
      </w:r>
      <w:bookmarkEnd w:id="101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3a7ceabc085c4e34a9488c0a8f9dab6f" w:id="101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操作纪律与执行规范 </w:t>
      </w:r>
      <w:bookmarkEnd w:id="1017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f9b1f2e-bb2a-4692-953d-d8cee6475b88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红砖计数铁律 </w:t>
      </w:r>
      <w:bookmarkEnd w:id="1018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c797d74-7bfb-400d-8b9a-7c36de47316b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四块红砖法则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无论定式类型，买入后数四块红砖：第四块后“要么减仓，要么清仓”，因“最肥的肉已吃到”，后续属“放飞”阶段。</w:t>
      </w:r>
      <w:bookmarkEnd w:id="1019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9a8ecfe-daa9-443e-9b51-c08e085f66de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反转应对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若第四块后出现绿砖，立即离场；若未反转但走势疲弱（如第五块红砖力度衰减），仍需执行纪律，“走早了踏空也要认”。</w:t>
      </w:r>
      <w:bookmarkEnd w:id="1020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e65b242-f400-47e5-a202-62724825f101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买入失效判定 </w:t>
      </w:r>
      <w:bookmarkEnd w:id="1021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c152fab-a9cf-46ce-84a7-fc1b61b71e26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当日失效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买入当日收盘前三分钟红砖变绿，即判定“买入后不涨”，视为失败。</w:t>
      </w:r>
      <w:bookmarkEnd w:id="1022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42e741e9-7867-4658-8a0b-428e2061488d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次日失效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买入次日9:30–9:37开盘无大幅拉升（如未高开4%或涨停），则必须离场；若高开即留，否则“坚决走”。</w:t>
      </w:r>
      <w:bookmarkEnd w:id="1023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38d1ebc-38b0-48c9-aa0e-f293878022d1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仓位管理原则 </w:t>
      </w:r>
      <w:bookmarkEnd w:id="1024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13b9bb2-b86f-4dc5-9661-96e9f44336dc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风险前置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四块红砖后未及时离场，遇大绿砖则“卖一半或三分之一”，因“很危险”；浮盈达80%–100%时更需果断。</w:t>
      </w:r>
      <w:bookmarkEnd w:id="1025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b6e81de-f089-450a-8137-bf30606aa60a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拒绝侥幸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“不要猜，给你什么拿什么”，杜绝因前期盈利而对弱势红砖产生感情依赖（“别他妈因为你前面赚了很多钱，后面来一这玩意儿你就信了”）。</w:t>
      </w:r>
      <w:bookmarkEnd w:id="102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8fdd6686c4b648d4bee18c29f7727f28" w:id="102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图形要素与排除标准 </w:t>
      </w:r>
      <w:bookmarkEnd w:id="1027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b23409e-a6d9-4dfc-ae03-60aee89c43b5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位置优先于量能 </w:t>
      </w:r>
      <w:bookmarkEnd w:id="1028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362bfb3-64ee-4df4-8d9a-bb4a0912fe15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成交量非必要条件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案例显示N型起跳可“没放量”，横盘起跳亦可“平亮启动”，故选股时“不要把成交量考虑进去”，核心是位置与砖形。</w:t>
      </w:r>
      <w:bookmarkEnd w:id="1029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265817a-7d06-4366-8ad1-ab8850f71474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白线/黄线参考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离白线越远成功率越低，但多头区间内可动态放宽；跌破黄线则“不玩了”，为硬性止损线。</w:t>
      </w:r>
      <w:bookmarkEnd w:id="1030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fa16299-4f3f-42c7-9201-81a22c82d2db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K线形态禁忌 </w:t>
      </w:r>
      <w:bookmarkEnd w:id="1031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a19abd6-6f7e-45b1-bc94-87c9369e2320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上影线限制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允许小上影线（“小上瘾”），禁用大上影线（“大苗子”）；光头光脚阳线合格，大苗子红砖“不要了”。</w:t>
      </w:r>
      <w:bookmarkEnd w:id="1032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89b4a25-4c12-40c5-8359-e25ae32af3bd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锤子与棒子辨析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锤子：实体小、下影长，表低位承接；棒子：实体大、上攻力强，表攻击启动；二者理念不同，不可混淆。</w:t>
      </w:r>
      <w:bookmarkEnd w:id="1033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46df3f7-fd97-4095-8403-bf71f265979c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无效形态排除 </w:t>
      </w:r>
      <w:bookmarkEnd w:id="1034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0d0231a-3f5c-4075-a569-48ad7eecc203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跳空缺口禁用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“跳空我不做”，因缺乏确定性；S1（关键阻力位）若被带量突破则“取消失效”，不可再作为依据。</w:t>
      </w:r>
      <w:bookmarkEnd w:id="1035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f63dc1925e9546b5ab2b16282c3e083d" w:id="1036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战法底层逻辑与适用边界 </w:t>
      </w:r>
      <w:bookmarkEnd w:id="1036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c8f5569-5c6a-4c00-8a9a-3c65ca0c112d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守株待兔哲学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所有定式均为“守株待兔”，等待标准形态自动进入交易系统，拒绝主观预测或强行介入（“你一天能选出八百多个，进不进？”）。</w:t>
      </w:r>
      <w:bookmarkEnd w:id="1037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cb277ff-fcc5-4d0c-876f-464930af12bd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概率思维本质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方法解决“大概率问题”，必然存在“踏空与麦飞”（1%概率），核心是控制单次风险（“别犯一次大错”），而非追求全胜。</w:t>
      </w:r>
      <w:bookmarkEnd w:id="1038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089b345-661e-477b-a5ca-9b06498c8adb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适用场景限定 </w:t>
      </w:r>
      <w:bookmarkEnd w:id="1039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e754a74-8725-44b0-bc50-feee57eac51b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周期定位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专精图玩法针对“超短线四天交易”，与机构中长线建仓节奏不同，流动性不足票慎用。</w:t>
      </w:r>
      <w:bookmarkEnd w:id="1040"/>
    </w:p>
    <w:p>
      <w:pPr>
        <w:pStyle w:val="一级无序列表"/>
        <w:pageBreakBefore w:val="off"/>
        <w:numPr>
          <w:ilvl w:val="1"/>
          <w:numId w:val="5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ffd4e7e-4726-436c-97f9-4a19243e0d54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市场环境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仅适用于“大盘多头区间”，此时“随便抢俩人头就够了”；熊市或空头区间则“跌破黄线不走”即退出。</w:t>
      </w:r>
      <w:bookmarkEnd w:id="1041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5df180a-1714-4cd0-8082-7155c270220d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终极验证标准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若经历完整多头区间仍无法盈利，则“别做了”，因该方法已是“最简单能在市场赚钱的方法”，复杂化反致失败。</w:t>
      </w:r>
      <w:bookmarkEnd w:id="104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63661e51df984eeebfa6d0e58f3a9941" w:id="1043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43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2026-05-02T18:29:19Z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BkBCUHbagwfE9t/qd9PStgZBJyUWcPjyebqGU6ZxCAo=","ProduceID":"ai_zongjie:f089f865460a9d296fc72cf391d6de94","ReservedCode2":"BkBCUHbagwfE9t/qd9PStgZBJyUWcPjyebqGU6ZxCAo=","PropagateID":"ai_zongjie:f089f865460a9d296fc72cf391d6de94","ContentProducer":"001191440101MA9Y9T4H7A00000"}</vt:lpwstr>
  </property>
</Properties>
</file>