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e421b9dfe5a4853865efd1518ed56f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的止损策略、仓位管理与市场认知，强调“只输一根K线”的纪律性操作，通过案例解析了买入点选择、清仓时机及分层配置的重要性，并深入剖析了银行股作为市场定价核心的逻辑，指出散户应避免情绪化交易，遵循系统化方法实现长期稳定盈利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292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4c1e72688e24f5da8fabfa8a4ef1c87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1ba1b7bc9d14da1ab34a1353da1c692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新开仓与止损原则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604fe0-2b4e-4bef-aa95-3bda4526996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核心原则：只输一根K线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每一笔新开仓交易，最大亏损应控制在单根K线范围内，除非投资者经验丰富且风险承受能力较强。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3b33a7-0f72-43cc-8ac8-f670983817ef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默认前提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老粉丝已掌握基础止损技能，近期未反复强调此点。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9b9d65e-1e9a-4bf6-8ddb-2b0f37b968d2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新粉问题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新手普遍不懂止损，而课程第一课即为“止损”。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8e6760-2260-4d0d-b4ee-d9592698ce3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清仓点判断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5dea6b-df19-4077-898e-415ad825ac9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对于在A点位置进场的交易者，最终清仓点应在A点或B点。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d02e3e-05e4-4071-b027-ae52017bb84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B点是最后的清仓时刻；若未设置放飞（止盈），A点更为稳妥。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a5c236-9902-4cdb-b7e5-1f2f12fb2c85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是否选择A点或B点取决于个人风险偏好（“碗的大小”）。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1ce695c4f4f458c94d8635836d77771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24cc8b8e56e4531951e7c489054be3e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卖点与买点的关系 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d542ce-4acd-4343-a918-22dc0a8039a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卖点对应买点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卖出决策应基于买入时设定的位置逻辑。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495ec4-5d04-4e10-ab69-8e57beb160c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跌破牵牛绳即止损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若在某位置买入后跌破A点，则不应视为普通卖出，而是必须执行的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行为。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c0f6e8-97fb-4dff-9021-cf55564e164c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第一卖点定义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跌破白线为第一卖点，而非等待黄线确认或其他技术信号。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029a1a-7807-4000-b55b-72911a678a13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死叉处理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若未及时在白线处离场，可等待白线与黄线形成彻底死叉后再行动。</w:t>
      </w:r>
      <w:bookmarkEnd w:id="101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fcea31-6b63-4b2b-a556-e7e18eb62bde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金叉/死叉无效论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在牛市中，死叉后常迅速转为金叉，因此不依赖此类信号进行决策。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c2e1bbdd3454c8bb706c1af74352f10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8ea8a30649c4678b88d9372d43d2829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板块轮动与筑底判断 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ef4b94-3015-4ae5-aadf-792c09aaa709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筑底概念解释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当前白酒ETF等处于底部震荡区间，称为“筑底”。此前两周已提示绿色区域为筑底阶段，如特高压、AIGC。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5c38463-1c1f-4934-bc63-bdb51691024d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颜色分类回顾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b04825-7da7-4a61-8cc2-755a7616e78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绿色：筑底阶段。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54f902-1ec7-47b5-a4ab-176c87adf57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黄色：发力上涨阶段。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4b2c2d-6f9d-4849-9d45-65108d10e27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红色：高位震荡，面临调整。</w:t>
      </w:r>
      <w:bookmarkEnd w:id="102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547154-c00a-4bb8-9ba1-f75913094836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近两周红色板块普遍回调，黄色板块持续走强，绿色板块逐步转向黄色，方向判断正确。</w:t>
      </w:r>
      <w:bookmarkEnd w:id="102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cebb95f-4c1d-438a-b56a-6c1097a43c7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个别失败案例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AIDC未如期走强，但白酒、化工正从绿转黄，符合整体判断。</w:t>
      </w:r>
      <w:bookmarkEnd w:id="102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9edd9e-b26f-441c-9aeb-7a884ecf5684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关注标的筛选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强调当前持仓中无AIDC相关个股，提醒勿盲目追逐热点。</w:t>
      </w:r>
      <w:bookmarkEnd w:id="102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5e445ff857d4d91b907ee51db5d84d3" w:id="1029"/>
      <w:bookmarkEnd w:id="102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f4b9720a78e43a4a17a8f9a14dbbd0b" w:id="103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筑底阶段的操作策略 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73b25c1-2095-40f5-8eac-e8dbc83a7bd4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白酒与化工状态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尽管逐渐走强，但仍处于筑底阶段，无需急于改变判断。</w:t>
      </w:r>
      <w:bookmarkEnd w:id="103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25706b-55a0-4f41-a604-0d18ae30c6d3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特高压仍处初期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“大戏还没来”，仍为筑底阶段，尚未进入主升浪。</w:t>
      </w:r>
      <w:bookmarkEnd w:id="103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112d28-ec68-4303-acd4-f81c9a177a0d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“没开始”含义澄清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“没开始”意味着行情尚未启动，需耐心等待真正流畅加速阶段的到来。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f7bb0f-765d-405c-a2b6-0baf0ebd789d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特高压不同子板块状态差异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部分个股刚从底部启动，处于填坑或出坑过程，真正的加速尚未出现。</w:t>
      </w:r>
      <w:bookmarkEnd w:id="103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418b847ef6743ada7f364ac7dda428f" w:id="1035"/>
      <w:bookmarkEnd w:id="103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00e7286630345589782c10c2f699ea6" w:id="103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已出现卖点的票不再关注 </w:t>
      </w:r>
      <w:bookmarkEnd w:id="103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2e3ea4-921e-4f48-a056-88b4d4d1058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历史规则重申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过去曾明确表示，一旦清仓某只股票，便不再关注。</w:t>
      </w:r>
      <w:bookmarkEnd w:id="103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ad957e-e082-4895-9e14-e6ffe1e79b4a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当前补充说明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因本人无实盘账户，故对新粉补充：当关注的票出现卖点（如牵牛绳跌破或高位放量S一）时，即应停止关注。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49c1c3-cba8-462c-8a88-18ca40e2ee4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短线操作示例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如某日买入并次日涨停，开盘稍高开或平开即应立即放飞部分仓位，将利润落袋为安。</w:t>
      </w:r>
      <w:bookmarkEnd w:id="103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9965425d07d42d7b48131e91321edd2" w:id="1040"/>
      <w:bookmarkEnd w:id="104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70e74be67be41de99b19eb3d6b7ade5" w:id="104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新人入市心态与盈利认知 </w:t>
      </w:r>
      <w:bookmarkEnd w:id="104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43c437-7419-4cac-a7f8-565a0b61713b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新手真实目标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初入市场最高兴的是用工资投资获得短期快速回报（如5000元赚500元），而非追求翻倍。</w:t>
      </w:r>
      <w:bookmarkEnd w:id="104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e70839-5957-480b-89af-6077646474df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首要任务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先学会将赚到的钱揣兜里，同时守住本金不被轻易夺走。</w:t>
      </w:r>
      <w:bookmarkEnd w:id="104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afe1b9-d468-48a4-85cd-4129f7e8037f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拿不住的合理性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若入场位置不佳（如成本过高），拿不住是正常现象。</w:t>
      </w:r>
      <w:bookmarkEnd w:id="104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171086-3034-4c31-b244-32cc6fcac6ff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成功案例对比</w:t>
      </w:r>
      <w:bookmarkEnd w:id="104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88e30c-f296-4214-8dee-6cd53e612da6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阿缅斯科因在底部区间买入（低位剪仓），可长期持有获利。</w:t>
      </w:r>
      <w:bookmarkEnd w:id="104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709fc3-ae85-4acc-85d3-c18b10ba3d52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赛赛因在历史高位买入，属中间横盘区域，无法复制阿缅式收益。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a16166c5ed0463aa53ce113b8124df9" w:id="1048"/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c55e331f8204d9993e115dd753da42f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底部区间的买入点重要性 </w:t>
      </w:r>
      <w:bookmarkEnd w:id="104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56be8ad-5057-4203-a7c0-fa441394fa62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相对底部区间买入点无关紧要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只要判断出处于相对底部区间，具体买入点位不重要。</w:t>
      </w:r>
      <w:bookmarkEnd w:id="105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676ffc-787e-406e-951a-9201a50ffd98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定海神针K线意义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底部放量阳线具有重大意义，确立底部有效性。</w:t>
      </w:r>
      <w:bookmarkEnd w:id="105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bf4cc2-7993-4dba-bcf4-743591017c9a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未来预期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只要判断准确，未来有望创历史新高。</w:t>
      </w:r>
      <w:bookmarkEnd w:id="105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1f558d1caf540c5a14273ee1a6e2203" w:id="1053"/>
      <w:bookmarkEnd w:id="105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d5973f40d3c4a889aefa2abf2e4c7f7" w:id="105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白酒行情逻辑分析 </w:t>
      </w:r>
      <w:bookmarkEnd w:id="105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6fbc20-e63d-4a26-a359-a334e6f06dd3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所有白酒未来必创前高，包括名字必达40。</w:t>
      </w:r>
      <w:bookmarkEnd w:id="105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5dceb2-45bf-4317-8e17-8fc78034ae1b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白酒仍处盘底区间，远未到加速阶段。</w:t>
      </w:r>
      <w:bookmarkEnd w:id="1056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1e119c-aff1-4a82-bda6-7f798f9dd9a8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真正加速条件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大盘见顶、大科技资金出货后，资金流入白酒推动其主升，届时上证指数可能达4500–5000点。</w:t>
      </w:r>
      <w:bookmarkEnd w:id="105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74d8e1e-95da-44ab-9251-00493d8e9f36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小波段特性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白酒骨性为小波段上涨20%-30%，不可期望短期翻倍。</w:t>
      </w:r>
      <w:bookmarkEnd w:id="105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ca449e1ada743498d45c2656afad2d7" w:id="1059"/>
      <w:bookmarkEnd w:id="105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7956457cd824998bf51b9ac0f83f182" w:id="106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银行股的定价功能与市场意义 </w:t>
      </w:r>
      <w:bookmarkEnd w:id="106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af186c-9fd7-445a-90ed-04326c8359b9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农行连续创新高的原因</w:t>
      </w:r>
      <w:bookmarkEnd w:id="106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e896b8-beed-49bd-a2db-e3cb816745b2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直接原因：各级“龙队”（国家队、地方队、险资等）将财政资产与核心股权绑定。</w:t>
      </w:r>
      <w:bookmarkEnd w:id="106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42c6e1-3de2-46e7-b441-113242446157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根本原因：为中国资本市场重新定价。</w:t>
      </w:r>
      <w:bookmarkEnd w:id="106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74287e-1d8e-46ab-a152-ea04bf1dd1a6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重新定价机制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农行每一轮上涨都为市场下一阶段指明估值中枢：</w:t>
      </w:r>
      <w:bookmarkEnd w:id="106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39d7d0-1973-4f14-a8f8-345f1f5a82bc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从3块涨至5块 → 定价3300–3800点。</w:t>
      </w:r>
      <w:bookmarkEnd w:id="106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7df70a-64a9-49f2-95c4-f0308bc5336a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从6.3块奔至8.6块 → 为4000点以上空间定价。</w:t>
      </w:r>
      <w:bookmarkEnd w:id="106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78dace-dbbf-4683-bc01-c8d1ffdcfb38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银行的核心地位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银行是中国各行各业中最核心的基石资产，在A股中尤以工农中建招行为代表。</w:t>
      </w:r>
      <w:bookmarkEnd w:id="106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c8d85b7fc7f439983663caa75da7eb4" w:id="1068"/>
      <w:bookmarkEnd w:id="106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f814a1fc7c146448ada1d24330c19a9" w:id="106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龙队意图解读与散户误区 </w:t>
      </w:r>
      <w:bookmarkEnd w:id="1069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8df8c71-17f4-4bcc-97c5-12a32b5efdf8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银行拉新高的信号意义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每一次四大行创历史新高，均表明“龙队”仍在主导市场方向。</w:t>
      </w:r>
      <w:bookmarkEnd w:id="1070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abb9e0c-f99b-480b-8b5f-e57137d2f133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护盘动机质疑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龙队拉升银行并非为了护盘让百岁山出货，因其并无此动机。</w:t>
      </w:r>
      <w:bookmarkEnd w:id="107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d5484db-0846-4c2c-8a5d-c63ddea9ad26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散户亏损真相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散户亏损的钱并未进入龙队口袋，龙队仍在建仓而非出货。</w:t>
      </w:r>
      <w:bookmarkEnd w:id="107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a4b49cb-779c-49eb-baff-6f9aef6bd406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对手盘逻辑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大资金出货永远面向对手盘，而非散户直接承接。</w:t>
      </w:r>
      <w:bookmarkEnd w:id="107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326041-38ca-4ef5-9107-350903825e96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农行单日成交43.7亿，意味着有同等规模的买卖双方互为对手，其中机构为主力买家。</w:t>
      </w:r>
      <w:bookmarkEnd w:id="107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39ffee05563487fb172109ef44a6389" w:id="1075"/>
      <w:bookmarkEnd w:id="107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ef0e24360824d7589bd2b7a9028edc1" w:id="107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慢牛走势的认知与理解 </w:t>
      </w:r>
      <w:bookmarkEnd w:id="1076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f62fd7-200d-467a-a3ba-a89373a7cda0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慢牛定义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指数斜率维持温和上升，过快则会被压制回收，理想形态约为45度角。</w:t>
      </w:r>
      <w:bookmarkEnd w:id="1077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4afbd1-3f34-422b-8f30-b9e3ee4bed62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银行走势即市场理想路径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龙队通过农行等标的画出中国资本市场理想的慢牛轨迹。</w:t>
      </w:r>
      <w:bookmarkEnd w:id="1078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a5a420-2f8a-4502-acce-6f43ff21fb3e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领导层调控预期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市场若过于激进，监管会出手引导“慎重一点”。</w:t>
      </w:r>
      <w:bookmarkEnd w:id="107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7d5291e54be4edc9a558edce5f37a2d" w:id="1080"/>
      <w:bookmarkEnd w:id="108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764248b79fb49eba070ecff30847c66" w:id="108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市场阶段转换与策略应对 </w:t>
      </w:r>
      <w:bookmarkEnd w:id="1081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3b8983-1260-494f-8b99-4d626b4b1c52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熊市做牛股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在924之前或恒生指数未走牛前，应专注成长股（如米儿）。</w:t>
      </w:r>
      <w:bookmarkEnd w:id="108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b4bb3e-6997-4d9b-8bfa-02f259ba117a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牛市做指数贡献股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市场转入指数行情时，应转向指数贡献型股票（如券商、红利ETF）。</w:t>
      </w:r>
      <w:bookmarkEnd w:id="1083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54d7f1-fc78-433a-86e8-7b4c7e1d5b18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故事驱动的本质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上涨过程中编造故事是为了稳定对手盘情绪，使其“别卖”，便于主力完成布局。</w:t>
      </w:r>
      <w:bookmarkEnd w:id="108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90a1d35e1254b2c9f6e1cd7d38e58a2" w:id="1085"/>
      <w:bookmarkEnd w:id="108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82bdda434ad46e380ff0c26b23a035f" w:id="108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大资金退出信号观察 </w:t>
      </w:r>
      <w:bookmarkEnd w:id="1086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cb722a-20ec-4727-8d25-4f493700d239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危险信号一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阿信开始减持。</w:t>
      </w:r>
      <w:bookmarkEnd w:id="1087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512f2d-0e83-4e9c-be5b-45dd87714ab2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危险信号二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龙队ETF整体减持大金融板块。</w:t>
      </w:r>
      <w:bookmarkEnd w:id="1088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8792d8-cb93-4993-8ce2-1300edd458de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央企退出地产历史参考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2010年起央企陆续退出非主营房地产，规避了后续行业崩盘风险。</w:t>
      </w:r>
      <w:bookmarkEnd w:id="108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b4256f97f684bf4ad79500a72e58a5c" w:id="1090"/>
      <w:bookmarkEnd w:id="109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a72abd307d44f6baa7191ca6cd338d3" w:id="109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散户认知局限与误读市场 </w:t>
      </w:r>
      <w:bookmarkEnd w:id="1091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ec53ee-9fec-4bec-b247-448baa670faa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误入天家比喻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散户观察银行分时图如同“误入天家”，所见交易与其无关。</w:t>
      </w:r>
      <w:bookmarkEnd w:id="1092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8a188e-3316-49e3-9149-b7edd4bc4bab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龙队眼中无散户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大资金操作时根本不关注散户账户（平均仅5万元）。</w:t>
      </w:r>
      <w:bookmarkEnd w:id="1093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138518-6055-44a1-8a1b-9417dca60b45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纯属巧合现象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科技股出货与银行拉升看似同步，实为巧合，因龙队目标在于资产绑定而非收割散户。</w:t>
      </w:r>
      <w:bookmarkEnd w:id="1094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e3a9983-a837-4275-8764-72de598aead2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印钞机制优势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央妈可无限放贷，无需抢夺散户资金。</w:t>
      </w:r>
      <w:bookmarkEnd w:id="109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563ab56f0f6449f95548d37cd4378dd" w:id="1096"/>
      <w:bookmarkEnd w:id="109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caa2b610e2f47808c88c82f5fdf28da" w:id="109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足球类比：球迷与资本关系 </w:t>
      </w:r>
      <w:bookmarkEnd w:id="1097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51bc4f-d8f4-4c20-93ac-63ae0215b287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朱骏案例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引进德罗巴、阿内尔卡出于个人兴趣，顺带提升球迷观赛体验。</w:t>
      </w:r>
      <w:bookmarkEnd w:id="1098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6ca7db-c047-43ad-a2f4-d881288c2305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国安票房现实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即使全场坐满6万人，扣除赞助商、政府、安保等分配后，散票仅约1.3万张。</w:t>
      </w:r>
      <w:bookmarkEnd w:id="1099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9cde18-8a51-4419-a273-71d1e22bca95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商业本质揭示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足球俱乐部盈利依赖商业地产（如工体周边开发），而非门票收入。</w:t>
      </w:r>
      <w:bookmarkEnd w:id="110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a0e97fbcf5a4b92856474466051a35b" w:id="1101"/>
      <w:bookmarkEnd w:id="110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9ca51f0d35c49278443999825b94f9d" w:id="110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仓位管理与配置策略 </w:t>
      </w:r>
      <w:bookmarkEnd w:id="1102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8b0228-8ebb-4f58-b373-6adc95b71ca8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分散配置降低风险</w:t>
      </w:r>
      <w:bookmarkEnd w:id="1103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45df25-7bd3-4f06-8b06-bd1bcb436bb1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赛赛跌20%，占10%仓位 → 净值影响仅2%。</w:t>
      </w:r>
      <w:bookmarkEnd w:id="1104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481153-96b7-4e8c-b15a-f3df0c880747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有色铝铜各配10%，即使大涨也不影响整体稳定性。</w:t>
      </w:r>
      <w:bookmarkEnd w:id="1105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83c723-f0f7-4aa2-8248-0d07ef43f57a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净值曲线特征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成功策略表现为长期向上、年化5%-7%安全垫，期间容忍长时间横盘（如一年半不动）。</w:t>
      </w:r>
      <w:bookmarkEnd w:id="1106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9ba3f1-e58b-4cb0-99ae-b2dd49a6d436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定投策略建议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对于红利策略基金，忽略价格波动，坚持时间维度定投，周线KD值低于0时加仓。</w:t>
      </w:r>
      <w:bookmarkEnd w:id="11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015b3e4f4a64dea8b6ad86400398413" w:id="1108"/>
      <w:bookmarkEnd w:id="11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d4c80a61f0243f19333ab5e50bb4efa" w:id="11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重仓与回撤承受力 </w:t>
      </w:r>
      <w:bookmarkEnd w:id="1109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f2b3a73-711e-4419-9a7d-7e3f3d2f993a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高仓位代价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若50%仓位集中在单一标的，需接受最高50%-60%回撤。</w:t>
      </w:r>
      <w:bookmarkEnd w:id="1110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5b05ec-1de0-4791-b813-6df88e182703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极端案例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赛力斯曾在89元跌至23元，跌幅超70%，多数人无法承受。</w:t>
      </w:r>
      <w:bookmarkEnd w:id="1111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56b1de-d212-48b0-abe2-782d96b1a69d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合理配置建议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单一个股仓位建议控制在10%以内，即便深度回调也不至于动摇整体持仓。</w:t>
      </w:r>
      <w:bookmarkEnd w:id="111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de6a8ceb1184a03bf370fa6ca92fbfb" w:id="1113"/>
      <w:bookmarkEnd w:id="11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5d8069a70fa4c4f99b8e7a28bc8d9c9" w:id="11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短线交易纪律：华尔街幽灵法则 </w:t>
      </w:r>
      <w:bookmarkEnd w:id="1114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07840b-a81f-4ce7-9cb3-e3631771399b" w:id="11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“当市场没有证明你是对的时候，你就错了。”</w:t>
      </w:r>
      <w:bookmarkEnd w:id="1115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806bc5-b8ce-4439-ace9-f2b23700fa42" w:id="11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短线无踏空概念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短线交易不存在“踏空”，只有严格执行纪律。</w:t>
      </w:r>
      <w:bookmarkEnd w:id="1116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5bf7b2-273f-4449-9eb1-3cded83dac52" w:id="11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bookmarkEnd w:id="1117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82d0cf-91a6-4ac5-9bed-52b7c3289c14" w:id="11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开仓后若未立即出现预期走势（如突破未延续），应果断离场。</w:t>
      </w:r>
      <w:bookmarkEnd w:id="1118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fd24d26-af03-4d16-af29-d540bd1fc9f0" w:id="11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不等待日线级别确认，按分钟级反应速度操作。</w:t>
      </w:r>
      <w:bookmarkEnd w:id="1119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15a190-e7b7-44be-b0e2-d17ccc015182" w:id="11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</w:t>
      </w:r>
      <w:bookmarkEnd w:id="1120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39e34c-8e56-49c0-bd92-173ac4798f37" w:id="11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国盛周五踩黄线收十字星，预期次日上涨。</w:t>
      </w:r>
      <w:bookmarkEnd w:id="1121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31eb80-1807-468a-8ff1-533b3f162e70" w:id="11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次日若低开并一分钟内未收回关键价位（如19.93），即刻拍掉。</w:t>
      </w:r>
      <w:bookmarkEnd w:id="1122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a51398-e5f4-43f2-b166-d19b1e384b75" w:id="11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高开后若未能高走反而低走，同样视为失败，及时止损。</w:t>
      </w:r>
      <w:bookmarkEnd w:id="112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dd126a8a3114b83853cf40438f26cde" w:id="1124"/>
      <w:bookmarkEnd w:id="11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c3e622a7c37457382745bc49578673d" w:id="11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趋势跟踪进阶战法 </w:t>
      </w:r>
      <w:bookmarkEnd w:id="1125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ddf788-89e8-4f13-bdb7-b7b242e0c678" w:id="11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推土机模式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牛逼股票走势特征为“低点不能破”，持续抬高低点构成上升通道。</w:t>
      </w:r>
      <w:bookmarkEnd w:id="1126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b3c8ff-b7db-4f2e-acbe-9befd61ef918" w:id="11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应用实例</w:t>
      </w:r>
      <w:bookmarkEnd w:id="1127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0c0c9f-28cb-4a78-8dca-ec7d2d47cc51" w:id="11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中国铝业：每次新低点形成后，收盘未破即持有。</w:t>
      </w:r>
      <w:bookmarkEnd w:id="1128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22e85f-ce14-468c-ab6b-6242122fc7b7" w:id="11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收盘破低点则立即卖出。</w:t>
      </w:r>
      <w:bookmarkEnd w:id="1129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0df96e-71dc-405b-9b0d-f54953fbca4c" w:id="11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追趋势本质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属于陈浩老师倡导的“趋势跟踪”策略，适用于有经验者。</w:t>
      </w:r>
      <w:bookmarkEnd w:id="113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5849756e9a04be2a7e8300c983805f5" w:id="1131"/>
      <w:bookmarkEnd w:id="113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17a99c68fa947f4a00f8e1c4a57a393" w:id="113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重仓爆发策略 </w:t>
      </w:r>
      <w:bookmarkEnd w:id="1132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bd215d-9f5c-4531-9323-59020a4c94f5" w:id="11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重仓前提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必须配合极严止损纪律，确保损失可控。</w:t>
      </w:r>
      <w:bookmarkEnd w:id="1133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995159-ca3a-4403-b6cf-6827d62d737b" w:id="11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</w:t>
      </w:r>
      <w:bookmarkEnd w:id="1134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433d12-4596-48d5-9778-47525991f1b2" w:id="11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满仓买入某股，次日若走势不符合预期（如高开低走），立即拍掉。</w:t>
      </w:r>
      <w:bookmarkEnd w:id="1135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b0d1fe-c034-4760-8d03-a22bee2991c1" w:id="11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赚钱就拍，不求吃满全程。</w:t>
      </w:r>
      <w:bookmarkEnd w:id="1136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8dea68-674c-4058-bdba-951cadf12584" w:id="11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心理控制关键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重仓的成功在于能承受“错失后续涨幅”的心态挑战。</w:t>
      </w:r>
      <w:bookmarkEnd w:id="113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ecff3cccf29409eb5614640bbf3e6ca" w:id="1138"/>
      <w:bookmarkEnd w:id="11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844a9ede20e40f48e3654a8587fae37" w:id="11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仓位管理核心原则总结 </w:t>
      </w:r>
      <w:bookmarkEnd w:id="1139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1d64c3-8d74-4fb2-81b5-e1d52051e06c" w:id="11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分层配置目的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波段操作欲吃满涨幅，必须采用分层配置。</w:t>
      </w:r>
      <w:bookmarkEnd w:id="1140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4637e0d-22cb-40b8-aa0a-5cb05e32cac5" w:id="11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玩法不可混淆</w:t>
      </w:r>
      <w:bookmarkEnd w:id="1141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27567d-44d5-4783-922f-66fe08571694" w:id="11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切忌用分仓做短线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：易导致频繁交易却难盈利。</w:t>
      </w:r>
      <w:bookmarkEnd w:id="1142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547e5e0-edaa-41d6-81aa-37f513bc810c" w:id="11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切忌用重仓做波段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：难以拿住，极端回撤下易崩溃。</w:t>
      </w:r>
      <w:bookmarkEnd w:id="1143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258a56-4d43-4f55-95ed-8ca430b50152" w:id="11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适合人群判断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长期看，波段比短线更容易成功，尤其对非专业投资者而言。</w:t>
      </w:r>
      <w:bookmarkEnd w:id="114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256295071fd4e37831710353e602284" w:id="1145"/>
      <w:bookmarkEnd w:id="11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413c5de99d048a1aab58bfe2bc82515" w:id="11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重仓的心理定义 </w:t>
      </w:r>
      <w:bookmarkEnd w:id="1146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2d8731-f6e7-424b-92b8-f6d68adc8942" w:id="11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主观判定标准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“重仓”由个人心理感受决定，非固定比例。</w:t>
      </w:r>
      <w:bookmarkEnd w:id="1147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0a4ff1-03a6-4b0e-b5c4-3f0a1f3c6953" w:id="11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衡量方式</w:t>
      </w:r>
      <w:bookmarkEnd w:id="1148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399544-cd7f-4e22-9a1e-c5a40d9de07c" w:id="11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一个涨停带来的收益是否让你满意？</w:t>
      </w:r>
      <w:bookmarkEnd w:id="1149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02be1d-2a0f-419e-aa50-14ec143c8dbb" w:id="11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一个跌停造成的损失是否让你难以承受？</w:t>
      </w:r>
      <w:bookmarkEnd w:id="1150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276a6f6-4a01-4880-93ec-13b96d87b389" w:id="11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</w:t>
      </w:r>
      <w:bookmarkEnd w:id="1151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9510bc-e634-4e54-bdf0-c6dc0340a524" w:id="11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账户100万，若50万仓位跌停损失5万，感觉“一辆迈巴赫没了”，则50万即为你的重仓。</w:t>
      </w:r>
      <w:bookmarkEnd w:id="1152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103936-3891-4c5e-aab8-0fc2b36d6cc8" w:id="11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此类仓位需配备严格止损纪律。</w:t>
      </w:r>
      <w:bookmarkEnd w:id="11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ed2482c247c4914be99b65a80d96379" w:id="1154"/>
      <w:bookmarkEnd w:id="11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41045f7ccf64deaa3050d25e79774dc" w:id="11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交易初级阶段的现实 </w:t>
      </w:r>
      <w:bookmarkEnd w:id="1155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463b95-ec85-4449-8bfa-849e1f516ebc" w:id="11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普遍现状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绝大多数交易者长期处于初级阶段。</w:t>
      </w:r>
      <w:bookmarkEnd w:id="1156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89d1c2-5aaf-4f72-ad53-a56d663c4b60" w:id="11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知行合一难度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听懂≠能做到，实践需要漫长躬行过程。</w:t>
      </w:r>
      <w:bookmarkEnd w:id="1157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31c7fe-5ca1-4660-be4e-e4f8396614b0" w:id="11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历史类比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如同国家发展需近50年才能进入中级发达国家，个人交易成熟亦需长期积累。</w:t>
      </w:r>
      <w:bookmarkEnd w:id="115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d904b6d1f9641dfa2280cd6b1cbc859" w:id="115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5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2026-05-31T16:10:43Z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46JZEwoYun9OO4TFDnHlPZ12yXiTICOzwJP++S/AVc=","ProduceID":"ai_zongjie:e77b6808a0d313ac3aa54d5558e3ee75","ReservedCode2":"V46JZEwoYun9OO4TFDnHlPZ12yXiTICOzwJP++S/AVc=","PropagateID":"ai_zongjie:e77b6808a0d313ac3aa54d5558e3ee75","ContentProducer":"001191440101MA9Y9T4H7A00000"}</vt:lpwstr>
  </property>
</Properties>
</file>