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微软雅黑" w:hAnsi="微软雅黑" w:eastAsia="微软雅黑"/>
          <w:b/>
          <w:color w:val="1F3A5F"/>
          <w:sz w:val="42"/>
        </w:rPr>
        <w:t>合规账服务报价表</w:t>
      </w:r>
    </w:p>
    <w:p>
      <w:pPr>
        <w:spacing w:before="0" w:after="200" w:line="300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苏州盈信企业管理有限公司    |    国家税务总局 TSC 五级涉税专业服务机构    |    苏州市财政局备案</w:t>
      </w:r>
    </w:p>
    <w:p>
      <w:pPr>
        <w:spacing w:before="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一、客户信息（请填写）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835"/>
            <w:vAlign w:val="center"/>
            <w:shd w:val="clear" w:color="auto" w:fill="E8EEF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客户名称</w:t>
            </w:r>
          </w:p>
        </w:tc>
        <w:tc>
          <w:tcPr>
            <w:tcW w:type="dxa" w:w="2608"/>
            <w:vAlign w:val="center"/>
            <w:shd w:val="clear" w:color="auto" w:fill="E8EEF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联系人 / 电话</w:t>
            </w:r>
          </w:p>
        </w:tc>
        <w:tc>
          <w:tcPr>
            <w:tcW w:type="dxa" w:w="2608"/>
            <w:vAlign w:val="center"/>
            <w:shd w:val="clear" w:color="auto" w:fill="E8EEF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所属行业</w:t>
            </w:r>
          </w:p>
        </w:tc>
        <w:tc>
          <w:tcPr>
            <w:tcW w:type="dxa" w:w="2041"/>
            <w:vAlign w:val="center"/>
            <w:shd w:val="clear" w:color="auto" w:fill="E8EEF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报价日期</w:t>
            </w:r>
          </w:p>
        </w:tc>
      </w:tr>
      <w:tr>
        <w:tc>
          <w:tcPr>
            <w:tcW w:type="dxa" w:w="283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041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二、服务方资质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20"/>
        </w:rPr>
        <w:t>· 成立于 2009 年，深耕财税服务 17 年，苏州（总部）· 上海（分部）两地服务。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20"/>
        </w:rPr>
        <w:t>· 国家税务总局涉税专业服务信用评价 TSC 五级（438.11 分）——涉税服务机构信用评价最高等级。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20"/>
        </w:rPr>
        <w:t>· 苏州市财政局备案代理记账机构，逐年参加年检，财政局官网可查。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20"/>
        </w:rPr>
        <w:t>· 高级会计师领衔的专业团队，配备中级会计师、税务师，多人具有 8 年以上财税经验。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20"/>
        </w:rPr>
        <w:t>· 服务对象：苏州、上海地区中小微企业。</w:t>
      </w:r>
    </w:p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三、合规账产品与收费标准（核心）</w:t>
      </w:r>
    </w:p>
    <w:p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595959"/>
          <w:sz w:val="19"/>
        </w:rPr>
        <w:t>合规账以「年营业额」为主定价维度，四档产品逐级叠加：会计 → 会计主管 → 财务经理 → 共享财务总监。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304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产品档位</w:t>
            </w:r>
          </w:p>
        </w:tc>
        <w:tc>
          <w:tcPr>
            <w:tcW w:type="dxa" w:w="1644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适用年营业额</w:t>
            </w:r>
          </w:p>
        </w:tc>
        <w:tc>
          <w:tcPr>
            <w:tcW w:type="dxa" w:w="1984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建议收费标准</w:t>
            </w:r>
          </w:p>
        </w:tc>
        <w:tc>
          <w:tcPr>
            <w:tcW w:type="dxa" w:w="5159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服务方式与人员配置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 – 100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1,000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每年上门服务 1 次 · 微信 1 小时内响应 · 3 年以上经验会计做账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 – 300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1,500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每年上门服务 1 次 · 微信 1 小时内响应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300 万以上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建议升级会计主管套餐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会计主管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 – 300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2,000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每季度上门 1 次 · 5 年经验会计做账 + 8 年经验会计师审核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会计主管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300 – 500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3,000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每季度上门 1 次 · 微信 1 小时内响应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会计主管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500 – 1,000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4,000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每季度上门 1 次 · 微信 1 小时内响应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会计主管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1,000 万以上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建议升级财务经理套餐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财务经理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1,000 – 2,000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5,000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每月上门 1 次 · 注册会计师、税务师审核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财务经理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2,000 – 3,000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7,000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每月上门 1 次 · 注册会计师、税务师审核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财务经理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3,000 – 5,000 万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8,000 元/月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每月上门 1 次 · 注册会计师、税务师审核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财务经理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5,000 万以上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协议定价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按业务复杂度单独约定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共享财务总监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不限（按需）</w:t>
            </w:r>
          </w:p>
        </w:tc>
        <w:tc>
          <w:tcPr>
            <w:tcW w:type="dxa" w:w="198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15.98 万元/年起</w:t>
            </w:r>
          </w:p>
        </w:tc>
        <w:tc>
          <w:tcPr>
            <w:tcW w:type="dxa" w:w="515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叠加财务经理全部服务 + 内控、资金、融资、股权、预算</w:t>
            </w:r>
          </w:p>
        </w:tc>
      </w:tr>
    </w:tbl>
    <w:p>
      <w:pPr>
        <w:spacing w:before="80" w:after="40" w:line="300" w:lineRule="auto"/>
      </w:pPr>
      <w:r>
        <w:rPr>
          <w:rFonts w:ascii="微软雅黑" w:hAnsi="微软雅黑" w:eastAsia="微软雅黑"/>
          <w:b w:val="0"/>
          <w:color w:val="595959"/>
          <w:sz w:val="17"/>
        </w:rPr>
        <w:t>注：表中为「建议收费标准」区间（手册原表），最终报价按票据量、行业复杂度、账务历史遗留问题等综合确定。</w:t>
      </w:r>
    </w:p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四、各档服务内容对照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3628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服务模块</w:t>
            </w:r>
          </w:p>
        </w:tc>
        <w:tc>
          <w:tcPr>
            <w:tcW w:type="dxa" w:w="1587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会计</w:t>
            </w:r>
          </w:p>
        </w:tc>
        <w:tc>
          <w:tcPr>
            <w:tcW w:type="dxa" w:w="1587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会计主管</w:t>
            </w:r>
          </w:p>
        </w:tc>
        <w:tc>
          <w:tcPr>
            <w:tcW w:type="dxa" w:w="1644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财务经理</w:t>
            </w:r>
          </w:p>
        </w:tc>
        <w:tc>
          <w:tcPr>
            <w:tcW w:type="dxa" w:w="1644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共享财务总监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会计核算（记账、报表、纳税申报）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涉税服务（税务申报、风险提示）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财务分析（经营数据解读与建议）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财务内控（制度、流程、审批）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资金管理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业财融合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融资辅助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股权架构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预算管理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√</w:t>
            </w:r>
          </w:p>
        </w:tc>
      </w:tr>
    </w:tbl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五、税务合规产品（可单独选购，与上述套餐叠加）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644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服务类别</w:t>
            </w:r>
          </w:p>
        </w:tc>
        <w:tc>
          <w:tcPr>
            <w:tcW w:type="dxa" w:w="3969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服务内容</w:t>
            </w:r>
          </w:p>
        </w:tc>
        <w:tc>
          <w:tcPr>
            <w:tcW w:type="dxa" w:w="1446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税务主管</w:t>
            </w:r>
            <w:r>
              <w:br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6,800 元/年</w:t>
            </w:r>
          </w:p>
        </w:tc>
        <w:tc>
          <w:tcPr>
            <w:tcW w:type="dxa" w:w="1446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税务经理</w:t>
            </w:r>
            <w:r>
              <w:br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9,800 元/年</w:t>
            </w:r>
          </w:p>
        </w:tc>
        <w:tc>
          <w:tcPr>
            <w:tcW w:type="dxa" w:w="1587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税务总监</w:t>
            </w:r>
            <w:r>
              <w:br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12,800 元/年</w:t>
            </w:r>
          </w:p>
        </w:tc>
      </w:tr>
      <w:tr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税务日常管理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一年两次税务体检、常年税务咨询、业务流程涉税风险提示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合规体系建设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发票管理规范、税务风险控制、重点风险事项警示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税务专项咨询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税收优惠政策适用评估、税务稽查应对方案、股权架构涉税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164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税务专项服务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税务稽查应对、税收优惠申请、税务尽职调查（按项目单独报价）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4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58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√（单项报价）</w:t>
            </w:r>
          </w:p>
        </w:tc>
      </w:tr>
    </w:tbl>
    <w:p>
      <w:pPr>
        <w:spacing w:before="80" w:after="40" w:line="300" w:lineRule="auto"/>
      </w:pPr>
      <w:r>
        <w:rPr>
          <w:rFonts w:ascii="微软雅黑" w:hAnsi="微软雅黑" w:eastAsia="微软雅黑"/>
          <w:b w:val="0"/>
          <w:color w:val="595959"/>
          <w:sz w:val="17"/>
        </w:rPr>
        <w:t>√＝包含　—＝不含。三档含金量逐级提升：主管档打基础，经理档建体系，总监档覆盖专项与稽查应对。</w:t>
      </w:r>
    </w:p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六、开业一次性费用（公司设立登记，代收代付项目）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814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102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75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参考金额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地址费用</w:t>
            </w:r>
          </w:p>
        </w:tc>
        <w:tc>
          <w:tcPr>
            <w:tcW w:type="dxa" w:w="5102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因区域、产权性质、用途不同而异（自有地址不产生）</w:t>
            </w:r>
          </w:p>
        </w:tc>
        <w:tc>
          <w:tcPr>
            <w:tcW w:type="dxa" w:w="317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1,500 – 4,000 元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印章刻制</w:t>
            </w:r>
          </w:p>
        </w:tc>
        <w:tc>
          <w:tcPr>
            <w:tcW w:type="dxa" w:w="5102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公章、法人章、财务专用章等（刻字店收取）</w:t>
            </w:r>
          </w:p>
        </w:tc>
        <w:tc>
          <w:tcPr>
            <w:tcW w:type="dxa" w:w="317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300 元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代办服务费</w:t>
            </w:r>
          </w:p>
        </w:tc>
        <w:tc>
          <w:tcPr>
            <w:tcW w:type="dxa" w:w="5102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签订代理记账 / 合规账服务协议可免</w:t>
            </w:r>
          </w:p>
        </w:tc>
        <w:tc>
          <w:tcPr>
            <w:tcW w:type="dxa" w:w="317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800 元（可免）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银行开户</w:t>
            </w:r>
          </w:p>
        </w:tc>
        <w:tc>
          <w:tcPr>
            <w:tcW w:type="dxa" w:w="5102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代预约协调免费；全程代办</w:t>
            </w:r>
          </w:p>
        </w:tc>
        <w:tc>
          <w:tcPr>
            <w:tcW w:type="dxa" w:w="317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免费 / 50 元 / 500 元</w:t>
            </w:r>
          </w:p>
        </w:tc>
      </w:tr>
    </w:tbl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七、标准代理记账（对照参考）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sz w:val="20"/>
        </w:rPr>
        <w:t>一般纳税人：500 元/月起；零申报：100 元/月。合规账在标准记账之上增加风险排查、合规建议与上门服务，两者价差对应的正是「合规」部分的专业投入。</w:t>
      </w:r>
    </w:p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八、报价说明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19"/>
        </w:rPr>
        <w:t>· 上述收费标准为手册规定的建议区间；最终报价依据企业年营业额、票据量、行业复杂度、账务历史遗留问题综合确定。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19"/>
        </w:rPr>
        <w:t>· 已签约普通代理记账客户升级合规账：原服务剩余期间按比例折算抵扣。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19"/>
        </w:rPr>
        <w:t>· 公司设立登记类费用（地址、刻章、开户）属代收代付，不作为我司服务收入。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19"/>
        </w:rPr>
        <w:t>· 多主体、多门店客户可另行商定打包价；共享财务总监档按协议约定。</w:t>
      </w:r>
    </w:p>
    <w:p>
      <w:pPr>
        <w:spacing w:before="0" w:after="50" w:line="300" w:lineRule="auto"/>
        <w:ind w:left="198"/>
      </w:pPr>
      <w:r>
        <w:rPr>
          <w:rFonts w:ascii="微软雅黑" w:hAnsi="微软雅黑" w:eastAsia="微软雅黑"/>
          <w:b w:val="0"/>
          <w:sz w:val="19"/>
        </w:rPr>
        <w:t>· 本表为参考报价，正式报价以双方确认的《合规账服务方案》为准。</w:t>
      </w:r>
    </w:p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九、服务响应承诺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041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服务方式</w:t>
            </w:r>
          </w:p>
        </w:tc>
        <w:tc>
          <w:tcPr>
            <w:tcW w:type="dxa" w:w="2608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会计档</w:t>
            </w:r>
          </w:p>
        </w:tc>
        <w:tc>
          <w:tcPr>
            <w:tcW w:type="dxa" w:w="2608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会计主管档</w:t>
            </w:r>
          </w:p>
        </w:tc>
        <w:tc>
          <w:tcPr>
            <w:tcW w:type="dxa" w:w="2835"/>
            <w:vAlign w:val="center"/>
            <w:shd w:val="clear" w:color="auto" w:fill="1F3A5F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财务经理档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上门服务频率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每年 1 次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每季度 1 次</w:t>
            </w:r>
          </w:p>
        </w:tc>
        <w:tc>
          <w:tcPr>
            <w:tcW w:type="dxa" w:w="283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每月 1 次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微信响应时效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小时内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小时内</w:t>
            </w:r>
          </w:p>
        </w:tc>
        <w:tc>
          <w:tcPr>
            <w:tcW w:type="dxa" w:w="283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小时内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做账人员配置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年以上经验会计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 年经验会计</w:t>
            </w:r>
          </w:p>
        </w:tc>
        <w:tc>
          <w:tcPr>
            <w:tcW w:type="dxa" w:w="283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 年经验会计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审核人员配置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 年经验会计师</w:t>
            </w:r>
          </w:p>
        </w:tc>
        <w:tc>
          <w:tcPr>
            <w:tcW w:type="dxa" w:w="2835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shd w:val="clear" w:color="auto" w:fill="F2F5F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注册会计师、税务师</w:t>
            </w:r>
          </w:p>
        </w:tc>
      </w:tr>
    </w:tbl>
    <w:p>
      <w:pPr>
        <w:spacing w:before="240" w:after="100" w:line="264" w:lineRule="auto"/>
        <w:ind w:left="28"/>
        <w:pBdr>
          <w:bottom w:val="single" w:sz="6" w:space="3" w:color="1F3A5F"/>
        </w:pBdr>
      </w:pPr>
      <w:r>
        <w:rPr>
          <w:rFonts w:ascii="微软雅黑" w:hAnsi="微软雅黑" w:eastAsia="微软雅黑"/>
          <w:b/>
          <w:color w:val="C00000"/>
          <w:sz w:val="25"/>
        </w:rPr>
        <w:t>▍</w:t>
      </w:r>
      <w:r>
        <w:rPr>
          <w:rFonts w:ascii="微软雅黑" w:hAnsi="微软雅黑" w:eastAsia="微软雅黑"/>
          <w:b/>
          <w:color w:val="1F3A5F"/>
          <w:sz w:val="25"/>
        </w:rPr>
        <w:t>十、联系方式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/>
          <w:color w:val="1F3A5F"/>
          <w:sz w:val="21"/>
        </w:rPr>
        <w:t>苏州盈信企业管理有限公司（苏州总部 · 上海分部）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sz w:val="21"/>
        </w:rPr>
        <w:t>电话：132-2229-7318    180-1262-7126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595959"/>
          <w:sz w:val="19"/>
        </w:rPr>
        <w:t>服务内容：公司注册 · 代理记账 · 合规账 · 税务合规咨询 · 高企账务与申报</w:t>
      </w:r>
    </w:p>
    <w:p>
      <w:pPr>
        <w:spacing w:before="120" w:after="80" w:line="300" w:lineRule="auto"/>
      </w:pPr>
      <w:r>
        <w:rPr>
          <w:rFonts w:ascii="微软雅黑" w:hAnsi="微软雅黑" w:eastAsia="微软雅黑"/>
          <w:b w:val="0"/>
          <w:color w:val="595959"/>
          <w:sz w:val="17"/>
        </w:rPr>
        <w:t>（本报价表依据《合规账产品手册》编制；手册未载明事项，已在表中如实留白，未作估计。）</w:t>
      </w:r>
    </w:p>
    <w:sectPr w:rsidR="00FC693F" w:rsidRPr="0006063C" w:rsidSect="00034616">
      <w:headerReference w:type="default" r:id="rId9"/>
      <w:pgSz w:w="11906" w:h="16838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95959"/>
        <w:sz w:val="17"/>
      </w:rPr>
      <w:t>苏州盈信企业管理有限公司  ·  合规账服务</w:t>
    </w:r>
  </w:p>
  <w:p>
    <w:pPr>
      <w:jc w:val="right"/>
    </w:pPr>
    <w:r>
      <w:drawing>
        <wp:inline xmlns:a="http://schemas.openxmlformats.org/drawingml/2006/main" xmlns:pic="http://schemas.openxmlformats.org/drawingml/2006/picture">
          <wp:extent cx="288000" cy="2864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xiangyu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8648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