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E7" w:rsidRPr="00365FF5" w:rsidRDefault="00365FF5" w:rsidP="00365FF5">
      <w:pPr>
        <w:jc w:val="center"/>
        <w:rPr>
          <w:rFonts w:ascii="Times New Roman" w:hAnsi="Times New Roman" w:cs="Times New Roman"/>
          <w:b/>
          <w:sz w:val="28"/>
          <w:szCs w:val="28"/>
        </w:rPr>
      </w:pPr>
      <w:r w:rsidRPr="00365FF5">
        <w:rPr>
          <w:rFonts w:ascii="Times New Roman" w:hAnsi="Times New Roman" w:cs="Times New Roman"/>
          <w:b/>
          <w:sz w:val="28"/>
          <w:szCs w:val="28"/>
        </w:rPr>
        <w:t>Informe</w:t>
      </w:r>
    </w:p>
    <w:p w:rsidR="00365FF5" w:rsidRDefault="00365FF5" w:rsidP="00365FF5">
      <w:pPr>
        <w:jc w:val="center"/>
        <w:rPr>
          <w:rFonts w:ascii="Times New Roman" w:hAnsi="Times New Roman" w:cs="Times New Roman"/>
          <w:b/>
          <w:sz w:val="28"/>
          <w:szCs w:val="28"/>
        </w:rPr>
      </w:pPr>
      <w:r w:rsidRPr="00365FF5">
        <w:rPr>
          <w:rFonts w:ascii="Times New Roman" w:hAnsi="Times New Roman" w:cs="Times New Roman"/>
          <w:b/>
          <w:sz w:val="28"/>
          <w:szCs w:val="28"/>
        </w:rPr>
        <w:t>Centro de Asesoramiento sobre Pobreza Energética de la UE</w:t>
      </w:r>
    </w:p>
    <w:p w:rsidR="00481280" w:rsidRPr="00365FF5" w:rsidRDefault="00481280" w:rsidP="002037B9">
      <w:pPr>
        <w:rPr>
          <w:rFonts w:ascii="Times New Roman" w:hAnsi="Times New Roman" w:cs="Times New Roman"/>
          <w:b/>
          <w:sz w:val="28"/>
          <w:szCs w:val="28"/>
        </w:rPr>
      </w:pPr>
    </w:p>
    <w:p w:rsidR="00365FF5" w:rsidRDefault="00365FF5" w:rsidP="00365FF5">
      <w:pPr>
        <w:jc w:val="center"/>
        <w:rPr>
          <w:rFonts w:ascii="Times New Roman" w:hAnsi="Times New Roman" w:cs="Times New Roman"/>
          <w:sz w:val="28"/>
          <w:szCs w:val="28"/>
        </w:rPr>
      </w:pPr>
    </w:p>
    <w:p w:rsidR="00365FF5" w:rsidRPr="00365FF5" w:rsidRDefault="00365FF5" w:rsidP="00365FF5">
      <w:pPr>
        <w:pStyle w:val="Prrafodelista"/>
        <w:numPr>
          <w:ilvl w:val="0"/>
          <w:numId w:val="1"/>
        </w:numPr>
        <w:rPr>
          <w:rFonts w:ascii="Times New Roman" w:hAnsi="Times New Roman" w:cs="Times New Roman"/>
          <w:sz w:val="28"/>
          <w:szCs w:val="28"/>
          <w:lang w:val="es-MX"/>
        </w:rPr>
      </w:pPr>
      <w:r w:rsidRPr="00365FF5">
        <w:rPr>
          <w:rFonts w:ascii="Times New Roman" w:hAnsi="Times New Roman" w:cs="Times New Roman"/>
          <w:sz w:val="28"/>
          <w:szCs w:val="28"/>
          <w:lang w:val="es-MX"/>
        </w:rPr>
        <w:t>Misión</w:t>
      </w:r>
      <w:r w:rsidR="0023766D">
        <w:rPr>
          <w:rFonts w:ascii="Times New Roman" w:hAnsi="Times New Roman" w:cs="Times New Roman"/>
          <w:sz w:val="28"/>
          <w:szCs w:val="28"/>
          <w:lang w:val="es-MX"/>
        </w:rPr>
        <w:t xml:space="preserve"> y funcionamiento</w:t>
      </w:r>
    </w:p>
    <w:p w:rsidR="00365FF5" w:rsidRPr="00B20162" w:rsidRDefault="00365FF5" w:rsidP="00365FF5">
      <w:pPr>
        <w:spacing w:after="0" w:line="276" w:lineRule="auto"/>
        <w:ind w:firstLine="708"/>
        <w:jc w:val="both"/>
        <w:rPr>
          <w:rStyle w:val="Hipervnculo"/>
          <w:rFonts w:ascii="Times New Roman" w:hAnsi="Times New Roman" w:cs="Times New Roman"/>
          <w:i/>
          <w:sz w:val="24"/>
          <w:szCs w:val="24"/>
          <w:lang w:val="es-MX"/>
        </w:rPr>
      </w:pPr>
      <w:r w:rsidRPr="00365FF5">
        <w:rPr>
          <w:rFonts w:ascii="Times New Roman" w:hAnsi="Times New Roman" w:cs="Times New Roman"/>
          <w:sz w:val="24"/>
          <w:szCs w:val="24"/>
          <w:lang w:val="es-MX"/>
        </w:rPr>
        <w:t xml:space="preserve">El </w:t>
      </w:r>
      <w:r w:rsidRPr="00365FF5">
        <w:rPr>
          <w:rFonts w:ascii="Times New Roman" w:hAnsi="Times New Roman" w:cs="Times New Roman"/>
          <w:i/>
          <w:sz w:val="24"/>
          <w:szCs w:val="24"/>
          <w:lang w:val="es-MX"/>
        </w:rPr>
        <w:t>Centro de Asesoramiento sobre Pobreza Energética de la UE</w:t>
      </w:r>
      <w:r>
        <w:rPr>
          <w:rFonts w:ascii="Times New Roman" w:hAnsi="Times New Roman" w:cs="Times New Roman"/>
          <w:sz w:val="24"/>
          <w:szCs w:val="24"/>
          <w:lang w:val="es-MX"/>
        </w:rPr>
        <w:t xml:space="preserve"> o </w:t>
      </w:r>
      <w:r w:rsidR="00B20162">
        <w:rPr>
          <w:rFonts w:ascii="Times New Roman" w:hAnsi="Times New Roman" w:cs="Times New Roman"/>
          <w:i/>
          <w:sz w:val="24"/>
          <w:szCs w:val="24"/>
          <w:lang w:val="es-MX"/>
        </w:rPr>
        <w:fldChar w:fldCharType="begin"/>
      </w:r>
      <w:r w:rsidR="00B20162">
        <w:rPr>
          <w:rFonts w:ascii="Times New Roman" w:hAnsi="Times New Roman" w:cs="Times New Roman"/>
          <w:i/>
          <w:sz w:val="24"/>
          <w:szCs w:val="24"/>
          <w:lang w:val="es-MX"/>
        </w:rPr>
        <w:instrText xml:space="preserve"> HYPERLINK "https://energy-poverty.ec.europa.eu/index_en" </w:instrText>
      </w:r>
      <w:r w:rsidR="00B20162">
        <w:rPr>
          <w:rFonts w:ascii="Times New Roman" w:hAnsi="Times New Roman" w:cs="Times New Roman"/>
          <w:i/>
          <w:sz w:val="24"/>
          <w:szCs w:val="24"/>
          <w:lang w:val="es-MX"/>
        </w:rPr>
        <w:fldChar w:fldCharType="separate"/>
      </w:r>
      <w:r w:rsidRPr="00B20162">
        <w:rPr>
          <w:rStyle w:val="Hipervnculo"/>
          <w:rFonts w:ascii="Times New Roman" w:hAnsi="Times New Roman" w:cs="Times New Roman"/>
          <w:i/>
          <w:sz w:val="24"/>
          <w:szCs w:val="24"/>
          <w:lang w:val="es-MX"/>
        </w:rPr>
        <w:t xml:space="preserve">EU </w:t>
      </w:r>
      <w:proofErr w:type="spellStart"/>
      <w:r w:rsidRPr="00B20162">
        <w:rPr>
          <w:rStyle w:val="Hipervnculo"/>
          <w:rFonts w:ascii="Times New Roman" w:hAnsi="Times New Roman" w:cs="Times New Roman"/>
          <w:i/>
          <w:sz w:val="24"/>
          <w:szCs w:val="24"/>
          <w:lang w:val="es-MX"/>
        </w:rPr>
        <w:t>Energy</w:t>
      </w:r>
      <w:proofErr w:type="spellEnd"/>
    </w:p>
    <w:p w:rsidR="00365FF5" w:rsidRDefault="00365FF5" w:rsidP="00365FF5">
      <w:pPr>
        <w:spacing w:line="276" w:lineRule="auto"/>
        <w:jc w:val="both"/>
        <w:rPr>
          <w:rFonts w:ascii="Times New Roman" w:hAnsi="Times New Roman" w:cs="Times New Roman"/>
          <w:sz w:val="24"/>
          <w:szCs w:val="24"/>
          <w:lang w:val="es-MX"/>
        </w:rPr>
      </w:pPr>
      <w:proofErr w:type="spellStart"/>
      <w:r w:rsidRPr="00B20162">
        <w:rPr>
          <w:rStyle w:val="Hipervnculo"/>
          <w:rFonts w:ascii="Times New Roman" w:hAnsi="Times New Roman" w:cs="Times New Roman"/>
          <w:i/>
          <w:sz w:val="24"/>
          <w:szCs w:val="24"/>
          <w:lang w:val="es-MX"/>
        </w:rPr>
        <w:t>Poverty</w:t>
      </w:r>
      <w:proofErr w:type="spellEnd"/>
      <w:r w:rsidRPr="00B20162">
        <w:rPr>
          <w:rStyle w:val="Hipervnculo"/>
          <w:rFonts w:ascii="Times New Roman" w:hAnsi="Times New Roman" w:cs="Times New Roman"/>
          <w:i/>
          <w:sz w:val="24"/>
          <w:szCs w:val="24"/>
          <w:lang w:val="es-MX"/>
        </w:rPr>
        <w:t xml:space="preserve"> </w:t>
      </w:r>
      <w:proofErr w:type="spellStart"/>
      <w:r w:rsidRPr="00B20162">
        <w:rPr>
          <w:rStyle w:val="Hipervnculo"/>
          <w:rFonts w:ascii="Times New Roman" w:hAnsi="Times New Roman" w:cs="Times New Roman"/>
          <w:i/>
          <w:sz w:val="24"/>
          <w:szCs w:val="24"/>
          <w:lang w:val="es-MX"/>
        </w:rPr>
        <w:t>Advisory</w:t>
      </w:r>
      <w:proofErr w:type="spellEnd"/>
      <w:r w:rsidRPr="00B20162">
        <w:rPr>
          <w:rStyle w:val="Hipervnculo"/>
          <w:rFonts w:ascii="Times New Roman" w:hAnsi="Times New Roman" w:cs="Times New Roman"/>
          <w:i/>
          <w:sz w:val="24"/>
          <w:szCs w:val="24"/>
          <w:lang w:val="es-MX"/>
        </w:rPr>
        <w:t xml:space="preserve"> </w:t>
      </w:r>
      <w:proofErr w:type="spellStart"/>
      <w:r w:rsidRPr="00B20162">
        <w:rPr>
          <w:rStyle w:val="Hipervnculo"/>
          <w:rFonts w:ascii="Times New Roman" w:hAnsi="Times New Roman" w:cs="Times New Roman"/>
          <w:i/>
          <w:sz w:val="24"/>
          <w:szCs w:val="24"/>
          <w:lang w:val="es-MX"/>
        </w:rPr>
        <w:t>Hub</w:t>
      </w:r>
      <w:proofErr w:type="spellEnd"/>
      <w:r w:rsidRPr="00B20162">
        <w:rPr>
          <w:rStyle w:val="Hipervnculo"/>
          <w:rFonts w:ascii="Times New Roman" w:hAnsi="Times New Roman" w:cs="Times New Roman"/>
          <w:i/>
          <w:sz w:val="24"/>
          <w:szCs w:val="24"/>
          <w:lang w:val="es-MX"/>
        </w:rPr>
        <w:t xml:space="preserve"> </w:t>
      </w:r>
      <w:r w:rsidRPr="00B20162">
        <w:rPr>
          <w:rStyle w:val="Hipervnculo"/>
          <w:rFonts w:ascii="Times New Roman" w:hAnsi="Times New Roman" w:cs="Times New Roman"/>
          <w:sz w:val="24"/>
          <w:szCs w:val="24"/>
          <w:lang w:val="es-MX"/>
        </w:rPr>
        <w:t>(</w:t>
      </w:r>
      <w:r w:rsidRPr="00B20162">
        <w:rPr>
          <w:rStyle w:val="Hipervnculo"/>
          <w:rFonts w:ascii="Times New Roman" w:hAnsi="Times New Roman" w:cs="Times New Roman"/>
          <w:i/>
          <w:sz w:val="24"/>
          <w:szCs w:val="24"/>
          <w:lang w:val="es-MX"/>
        </w:rPr>
        <w:t>EPAH</w:t>
      </w:r>
      <w:r w:rsidRPr="00B20162">
        <w:rPr>
          <w:rStyle w:val="Hipervnculo"/>
          <w:rFonts w:ascii="Times New Roman" w:hAnsi="Times New Roman" w:cs="Times New Roman"/>
          <w:sz w:val="24"/>
          <w:szCs w:val="24"/>
          <w:lang w:val="es-MX"/>
        </w:rPr>
        <w:t>)</w:t>
      </w:r>
      <w:r w:rsidR="00B20162">
        <w:rPr>
          <w:rFonts w:ascii="Times New Roman" w:hAnsi="Times New Roman" w:cs="Times New Roman"/>
          <w:i/>
          <w:sz w:val="24"/>
          <w:szCs w:val="24"/>
          <w:lang w:val="es-MX"/>
        </w:rPr>
        <w:fldChar w:fldCharType="end"/>
      </w:r>
      <w:r>
        <w:rPr>
          <w:rFonts w:ascii="Times New Roman" w:hAnsi="Times New Roman" w:cs="Times New Roman"/>
          <w:sz w:val="24"/>
          <w:szCs w:val="24"/>
          <w:lang w:val="es-MX"/>
        </w:rPr>
        <w:t xml:space="preserve"> es una red </w:t>
      </w:r>
      <w:r w:rsidRPr="00365FF5">
        <w:rPr>
          <w:rFonts w:ascii="Times New Roman" w:hAnsi="Times New Roman" w:cs="Times New Roman"/>
          <w:sz w:val="24"/>
          <w:szCs w:val="24"/>
          <w:lang w:val="es-MX"/>
        </w:rPr>
        <w:t>de colaboración de di</w:t>
      </w:r>
      <w:r>
        <w:rPr>
          <w:rFonts w:ascii="Times New Roman" w:hAnsi="Times New Roman" w:cs="Times New Roman"/>
          <w:sz w:val="24"/>
          <w:szCs w:val="24"/>
          <w:lang w:val="es-MX"/>
        </w:rPr>
        <w:t xml:space="preserve">ferentes actores cuyo interés es </w:t>
      </w:r>
      <w:r w:rsidRPr="00365FF5">
        <w:rPr>
          <w:rFonts w:ascii="Times New Roman" w:hAnsi="Times New Roman" w:cs="Times New Roman"/>
          <w:sz w:val="24"/>
          <w:szCs w:val="24"/>
          <w:lang w:val="es-MX"/>
        </w:rPr>
        <w:t>erradicar la pobreza energ</w:t>
      </w:r>
      <w:r>
        <w:rPr>
          <w:rFonts w:ascii="Times New Roman" w:hAnsi="Times New Roman" w:cs="Times New Roman"/>
          <w:sz w:val="24"/>
          <w:szCs w:val="24"/>
          <w:lang w:val="es-MX"/>
        </w:rPr>
        <w:t xml:space="preserve">ética y acelerar la transición </w:t>
      </w:r>
      <w:r w:rsidRPr="00365FF5">
        <w:rPr>
          <w:rFonts w:ascii="Times New Roman" w:hAnsi="Times New Roman" w:cs="Times New Roman"/>
          <w:sz w:val="24"/>
          <w:szCs w:val="24"/>
          <w:lang w:val="es-MX"/>
        </w:rPr>
        <w:t>energética justa de gobiernos europeos</w:t>
      </w:r>
      <w:r>
        <w:rPr>
          <w:rFonts w:ascii="Times New Roman" w:hAnsi="Times New Roman" w:cs="Times New Roman"/>
          <w:sz w:val="24"/>
          <w:szCs w:val="24"/>
          <w:lang w:val="es-MX"/>
        </w:rPr>
        <w:t xml:space="preserve"> locales</w:t>
      </w:r>
      <w:r w:rsidRPr="00365FF5">
        <w:rPr>
          <w:rFonts w:ascii="Times New Roman" w:hAnsi="Times New Roman" w:cs="Times New Roman"/>
          <w:sz w:val="24"/>
          <w:szCs w:val="24"/>
          <w:lang w:val="es-MX"/>
        </w:rPr>
        <w:t>.</w:t>
      </w:r>
      <w:r>
        <w:rPr>
          <w:rFonts w:ascii="Times New Roman" w:hAnsi="Times New Roman" w:cs="Times New Roman"/>
          <w:sz w:val="24"/>
          <w:szCs w:val="24"/>
          <w:lang w:val="es-MX"/>
        </w:rPr>
        <w:t xml:space="preserve"> El Centro es un organismo gestionado por la </w:t>
      </w:r>
      <w:r w:rsidR="00CD347B">
        <w:rPr>
          <w:rFonts w:ascii="Times New Roman" w:hAnsi="Times New Roman" w:cs="Times New Roman"/>
          <w:sz w:val="24"/>
          <w:szCs w:val="24"/>
          <w:lang w:val="es-MX"/>
        </w:rPr>
        <w:t>Comisión</w:t>
      </w:r>
      <w:r>
        <w:rPr>
          <w:rFonts w:ascii="Times New Roman" w:hAnsi="Times New Roman" w:cs="Times New Roman"/>
          <w:sz w:val="24"/>
          <w:szCs w:val="24"/>
          <w:lang w:val="es-MX"/>
        </w:rPr>
        <w:t xml:space="preserve"> Europea a petición del Parlamento Europeo. La misión principal de este ente es volverse centro de </w:t>
      </w:r>
      <w:r w:rsidRPr="00365FF5">
        <w:rPr>
          <w:rFonts w:ascii="Times New Roman" w:hAnsi="Times New Roman" w:cs="Times New Roman"/>
          <w:sz w:val="24"/>
          <w:szCs w:val="24"/>
          <w:lang w:val="es-MX"/>
        </w:rPr>
        <w:t>competencias sobre po</w:t>
      </w:r>
      <w:r>
        <w:rPr>
          <w:rFonts w:ascii="Times New Roman" w:hAnsi="Times New Roman" w:cs="Times New Roman"/>
          <w:sz w:val="24"/>
          <w:szCs w:val="24"/>
          <w:lang w:val="es-MX"/>
        </w:rPr>
        <w:t xml:space="preserve">breza energética en Europa, cuyo trabajo permita tomar </w:t>
      </w:r>
      <w:r w:rsidRPr="00365FF5">
        <w:rPr>
          <w:rFonts w:ascii="Times New Roman" w:hAnsi="Times New Roman" w:cs="Times New Roman"/>
          <w:sz w:val="24"/>
          <w:szCs w:val="24"/>
          <w:lang w:val="es-MX"/>
        </w:rPr>
        <w:t xml:space="preserve">medidas para </w:t>
      </w:r>
      <w:r>
        <w:rPr>
          <w:rFonts w:ascii="Times New Roman" w:hAnsi="Times New Roman" w:cs="Times New Roman"/>
          <w:sz w:val="24"/>
          <w:szCs w:val="24"/>
          <w:lang w:val="es-MX"/>
        </w:rPr>
        <w:t xml:space="preserve">combatir la pobreza energética en </w:t>
      </w:r>
      <w:r w:rsidRPr="00365FF5">
        <w:rPr>
          <w:rFonts w:ascii="Times New Roman" w:hAnsi="Times New Roman" w:cs="Times New Roman"/>
          <w:sz w:val="24"/>
          <w:szCs w:val="24"/>
          <w:lang w:val="es-MX"/>
        </w:rPr>
        <w:t>gobiernos locales</w:t>
      </w:r>
      <w:r>
        <w:rPr>
          <w:rFonts w:ascii="Times New Roman" w:hAnsi="Times New Roman" w:cs="Times New Roman"/>
          <w:sz w:val="24"/>
          <w:szCs w:val="24"/>
          <w:lang w:val="es-MX"/>
        </w:rPr>
        <w:t>,</w:t>
      </w:r>
      <w:r w:rsidRPr="00365FF5">
        <w:rPr>
          <w:rFonts w:ascii="Times New Roman" w:hAnsi="Times New Roman" w:cs="Times New Roman"/>
          <w:sz w:val="24"/>
          <w:szCs w:val="24"/>
          <w:lang w:val="es-MX"/>
        </w:rPr>
        <w:t xml:space="preserve"> y</w:t>
      </w:r>
      <w:r>
        <w:rPr>
          <w:rFonts w:ascii="Times New Roman" w:hAnsi="Times New Roman" w:cs="Times New Roman"/>
          <w:sz w:val="24"/>
          <w:szCs w:val="24"/>
          <w:lang w:val="es-MX"/>
        </w:rPr>
        <w:t xml:space="preserve"> cualquier otra parte interesada.</w:t>
      </w:r>
    </w:p>
    <w:p w:rsidR="0023766D" w:rsidRDefault="0023766D" w:rsidP="00365FF5">
      <w:pPr>
        <w:spacing w:line="276"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El Centro trabaja en conjunto con cinco organizaciones aliadas en Europa, cuyas sedes están </w:t>
      </w:r>
      <w:r w:rsidR="005219FC">
        <w:rPr>
          <w:rFonts w:ascii="Times New Roman" w:hAnsi="Times New Roman" w:cs="Times New Roman"/>
          <w:sz w:val="24"/>
          <w:szCs w:val="24"/>
          <w:lang w:val="es-MX"/>
        </w:rPr>
        <w:t>mayoritariamente en países desarrollados de Europa Central, estas son</w:t>
      </w:r>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Climate</w:t>
      </w:r>
      <w:proofErr w:type="spellEnd"/>
      <w:r>
        <w:rPr>
          <w:rFonts w:ascii="Times New Roman" w:hAnsi="Times New Roman" w:cs="Times New Roman"/>
          <w:sz w:val="24"/>
          <w:szCs w:val="24"/>
          <w:lang w:val="es-MX"/>
        </w:rPr>
        <w:t xml:space="preserve"> Alliance, AISFOR, </w:t>
      </w:r>
      <w:proofErr w:type="spellStart"/>
      <w:r>
        <w:rPr>
          <w:rFonts w:ascii="Times New Roman" w:hAnsi="Times New Roman" w:cs="Times New Roman"/>
          <w:sz w:val="24"/>
          <w:szCs w:val="24"/>
          <w:lang w:val="es-MX"/>
        </w:rPr>
        <w:t>Akaryon</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Ecoserveis</w:t>
      </w:r>
      <w:proofErr w:type="spellEnd"/>
      <w:r>
        <w:rPr>
          <w:rFonts w:ascii="Times New Roman" w:hAnsi="Times New Roman" w:cs="Times New Roman"/>
          <w:sz w:val="24"/>
          <w:szCs w:val="24"/>
          <w:lang w:val="es-MX"/>
        </w:rPr>
        <w:t xml:space="preserve"> y FCT NOVA. Aparte de estas cinco organizaciones principales, el Centro trabaja con seis organizaciones satélite ubicadas en Grecia, Irlanda, Chipre, Croacia, Polonia y Bulgaria</w:t>
      </w:r>
      <w:r w:rsidR="005219FC">
        <w:rPr>
          <w:rFonts w:ascii="Times New Roman" w:hAnsi="Times New Roman" w:cs="Times New Roman"/>
          <w:sz w:val="24"/>
          <w:szCs w:val="24"/>
          <w:lang w:val="es-MX"/>
        </w:rPr>
        <w:t xml:space="preserve">, cuyo enfoque es mucho más local que las cinco mencionadas anteriormente. Por ejemplo, </w:t>
      </w:r>
      <w:proofErr w:type="spellStart"/>
      <w:r w:rsidR="005219FC">
        <w:rPr>
          <w:rFonts w:ascii="Times New Roman" w:hAnsi="Times New Roman" w:cs="Times New Roman"/>
          <w:sz w:val="24"/>
          <w:szCs w:val="24"/>
          <w:lang w:val="es-MX"/>
        </w:rPr>
        <w:t>Anatoliki</w:t>
      </w:r>
      <w:proofErr w:type="spellEnd"/>
      <w:r w:rsidR="005219FC">
        <w:rPr>
          <w:rFonts w:ascii="Times New Roman" w:hAnsi="Times New Roman" w:cs="Times New Roman"/>
          <w:sz w:val="24"/>
          <w:szCs w:val="24"/>
          <w:lang w:val="es-MX"/>
        </w:rPr>
        <w:t>, una organización satélite de centro, se enfoca en la isla de Tesalónica, en Grecia.</w:t>
      </w:r>
    </w:p>
    <w:p w:rsidR="005219FC" w:rsidRDefault="005219FC" w:rsidP="00365FF5">
      <w:pPr>
        <w:spacing w:line="276"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Junto con los esfuerzos de estas organizaciones, el Centro hace uso intensivo de los datos que provee EUROSTAT, la oficina estadística de la Comisión Europea, por lo que esta se podría considerar un aliado cercano adicional, ya que gracias a las métricas y los datos que provee se pueden construir los visores y los reportes publicados por el centro.</w:t>
      </w:r>
    </w:p>
    <w:p w:rsidR="00CD347B" w:rsidRDefault="00CD347B" w:rsidP="00365FF5">
      <w:pPr>
        <w:spacing w:line="276" w:lineRule="auto"/>
        <w:jc w:val="both"/>
        <w:rPr>
          <w:rFonts w:ascii="Times New Roman" w:hAnsi="Times New Roman" w:cs="Times New Roman"/>
          <w:sz w:val="24"/>
          <w:szCs w:val="24"/>
          <w:lang w:val="es-MX"/>
        </w:rPr>
      </w:pPr>
    </w:p>
    <w:p w:rsidR="00CD347B" w:rsidRDefault="008C6F81" w:rsidP="00CD347B">
      <w:pPr>
        <w:pStyle w:val="Prrafodelista"/>
        <w:numPr>
          <w:ilvl w:val="0"/>
          <w:numId w:val="1"/>
        </w:numPr>
        <w:rPr>
          <w:rFonts w:ascii="Times New Roman" w:hAnsi="Times New Roman" w:cs="Times New Roman"/>
          <w:sz w:val="28"/>
          <w:szCs w:val="28"/>
          <w:lang w:val="es-MX"/>
        </w:rPr>
      </w:pPr>
      <w:r>
        <w:rPr>
          <w:rFonts w:ascii="Times New Roman" w:hAnsi="Times New Roman" w:cs="Times New Roman"/>
          <w:sz w:val="28"/>
          <w:szCs w:val="28"/>
          <w:lang w:val="es-MX"/>
        </w:rPr>
        <w:t>Proyectos</w:t>
      </w:r>
      <w:r w:rsidR="002037B9">
        <w:rPr>
          <w:rFonts w:ascii="Times New Roman" w:hAnsi="Times New Roman" w:cs="Times New Roman"/>
          <w:sz w:val="28"/>
          <w:szCs w:val="28"/>
          <w:lang w:val="es-MX"/>
        </w:rPr>
        <w:t xml:space="preserve"> y publicaciones</w:t>
      </w:r>
    </w:p>
    <w:p w:rsidR="00CD347B" w:rsidRDefault="00CD347B" w:rsidP="00312E19">
      <w:pPr>
        <w:spacing w:line="276" w:lineRule="auto"/>
        <w:ind w:firstLine="360"/>
        <w:jc w:val="both"/>
        <w:rPr>
          <w:rFonts w:ascii="Times New Roman" w:hAnsi="Times New Roman" w:cs="Times New Roman"/>
          <w:sz w:val="24"/>
          <w:szCs w:val="24"/>
          <w:lang w:val="es-MX"/>
        </w:rPr>
      </w:pPr>
      <w:r>
        <w:rPr>
          <w:rFonts w:ascii="Times New Roman" w:hAnsi="Times New Roman" w:cs="Times New Roman"/>
          <w:sz w:val="24"/>
          <w:szCs w:val="24"/>
          <w:lang w:val="es-MX"/>
        </w:rPr>
        <w:t>EPAH hace seguimiento a más de 250 proyectos</w:t>
      </w:r>
      <w:r w:rsidR="00BB20C3">
        <w:rPr>
          <w:rFonts w:ascii="Times New Roman" w:hAnsi="Times New Roman" w:cs="Times New Roman"/>
          <w:sz w:val="24"/>
          <w:szCs w:val="24"/>
          <w:lang w:val="es-MX"/>
        </w:rPr>
        <w:t xml:space="preserve"> relacionados con energía, y 22 proyectos de pobreza energética</w:t>
      </w:r>
      <w:r>
        <w:rPr>
          <w:rFonts w:ascii="Times New Roman" w:hAnsi="Times New Roman" w:cs="Times New Roman"/>
          <w:sz w:val="24"/>
          <w:szCs w:val="24"/>
          <w:lang w:val="es-MX"/>
        </w:rPr>
        <w:t xml:space="preserve"> a través de un amplio número de variables divididas en tres tipos: fases, tipo de intervención y escala geográfica.</w:t>
      </w:r>
    </w:p>
    <w:p w:rsidR="00CD347B" w:rsidRPr="00CD347B" w:rsidRDefault="008C6F81" w:rsidP="00312E19">
      <w:pPr>
        <w:spacing w:line="276" w:lineRule="auto"/>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La fase mide</w:t>
      </w:r>
      <w:r w:rsidR="00CD347B">
        <w:rPr>
          <w:rFonts w:ascii="Times New Roman" w:hAnsi="Times New Roman" w:cs="Times New Roman"/>
          <w:sz w:val="24"/>
          <w:szCs w:val="24"/>
          <w:lang w:val="es-MX"/>
        </w:rPr>
        <w:t xml:space="preserve"> que tan avanzado esta un proyecto al cual se le hace seguimiento, estas variables son diagnosis, planeación, implementación e impacto, y responden al ciclo de vida de un proyecto, partiendo desde la diagnosis del problema hasta la evaluación de impacto de su implementación.</w:t>
      </w:r>
    </w:p>
    <w:p w:rsidR="008C6F81" w:rsidRDefault="00CD347B" w:rsidP="00312E19">
      <w:pPr>
        <w:spacing w:line="276" w:lineRule="auto"/>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Las variables de </w:t>
      </w:r>
      <w:r w:rsidR="008C6F81">
        <w:rPr>
          <w:rFonts w:ascii="Times New Roman" w:hAnsi="Times New Roman" w:cs="Times New Roman"/>
          <w:sz w:val="24"/>
          <w:szCs w:val="24"/>
          <w:lang w:val="es-MX"/>
        </w:rPr>
        <w:t xml:space="preserve">intervención se refieren al tipo de proyecto que se despliega en un determinado territorio. Hay en total 13 tipos de proyectos rastreados por el Centro, cuyos </w:t>
      </w:r>
      <w:r w:rsidR="008C6F81">
        <w:rPr>
          <w:rFonts w:ascii="Times New Roman" w:hAnsi="Times New Roman" w:cs="Times New Roman"/>
          <w:sz w:val="24"/>
          <w:szCs w:val="24"/>
          <w:lang w:val="es-MX"/>
        </w:rPr>
        <w:lastRenderedPageBreak/>
        <w:t xml:space="preserve">propósitos van desde construcción de capacidad, campañas de comunicación y asesorías hasta mecanismos financieros, regulación, remodelación de infraestructura e inserción al mercado laboral. Finalmente, las variables de escala geográfica indican donde se desarrolla el proyecto, ya sea a nivel local, regional o internacional. </w:t>
      </w:r>
    </w:p>
    <w:p w:rsidR="002037B9" w:rsidRDefault="002037B9" w:rsidP="00312E19">
      <w:pPr>
        <w:spacing w:line="276" w:lineRule="auto"/>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 corte de Noviembre de 2023, el Centro tiene ocho publicaciones propias en su sitio web, las cuales tres son de corte general sobre temas de pobreza energética con un énfasis didáctico, dos son versiones de un reporte anual sobre identificación de variables de pobreza energética a nivel nacional o local, y las tres restantes son de carácter informativo sobre el centro y su misión. </w:t>
      </w:r>
    </w:p>
    <w:p w:rsidR="0021101F" w:rsidRDefault="002037B9" w:rsidP="00312E19">
      <w:pPr>
        <w:spacing w:line="276" w:lineRule="auto"/>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Es importante aclarar que estas ocho publicaciones no son los únicos recursos disponibles en el sitio, pues el Centro también tiene un buscador dedicado a almacenar y organizar publicaciones hechas sobre pobreza energética en Europa, independientemente de sus autores. A corte de Noviembre 2023, hay 149 publicaciones en el sitio y 14 instrumentos de política pública.</w:t>
      </w:r>
      <w:r w:rsidR="0021101F">
        <w:rPr>
          <w:rFonts w:ascii="Times New Roman" w:hAnsi="Times New Roman" w:cs="Times New Roman"/>
          <w:sz w:val="24"/>
          <w:szCs w:val="24"/>
          <w:lang w:val="es-MX"/>
        </w:rPr>
        <w:t xml:space="preserve"> </w:t>
      </w:r>
    </w:p>
    <w:p w:rsidR="002037B9" w:rsidRPr="0021101F" w:rsidRDefault="0021101F" w:rsidP="00312E19">
      <w:pPr>
        <w:spacing w:line="276" w:lineRule="auto"/>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Si bien el material en el sitio es relevante para el estudio de la pobreza energética, se podría afirmar que las piezas más importantes de este repositorio son las realizadas por el </w:t>
      </w:r>
      <w:r w:rsidRPr="0021101F">
        <w:rPr>
          <w:rFonts w:ascii="Times New Roman" w:hAnsi="Times New Roman" w:cs="Times New Roman"/>
          <w:i/>
          <w:sz w:val="24"/>
          <w:szCs w:val="24"/>
          <w:lang w:val="es-MX"/>
        </w:rPr>
        <w:t xml:space="preserve">EU </w:t>
      </w:r>
      <w:proofErr w:type="spellStart"/>
      <w:r w:rsidRPr="0021101F">
        <w:rPr>
          <w:rFonts w:ascii="Times New Roman" w:hAnsi="Times New Roman" w:cs="Times New Roman"/>
          <w:i/>
          <w:sz w:val="24"/>
          <w:szCs w:val="24"/>
          <w:lang w:val="es-MX"/>
        </w:rPr>
        <w:t>Energy</w:t>
      </w:r>
      <w:proofErr w:type="spellEnd"/>
      <w:r w:rsidRPr="0021101F">
        <w:rPr>
          <w:rFonts w:ascii="Times New Roman" w:hAnsi="Times New Roman" w:cs="Times New Roman"/>
          <w:i/>
          <w:sz w:val="24"/>
          <w:szCs w:val="24"/>
          <w:lang w:val="es-MX"/>
        </w:rPr>
        <w:t xml:space="preserve"> </w:t>
      </w:r>
      <w:proofErr w:type="spellStart"/>
      <w:r w:rsidRPr="0021101F">
        <w:rPr>
          <w:rFonts w:ascii="Times New Roman" w:hAnsi="Times New Roman" w:cs="Times New Roman"/>
          <w:i/>
          <w:sz w:val="24"/>
          <w:szCs w:val="24"/>
          <w:lang w:val="es-MX"/>
        </w:rPr>
        <w:t>Poverty</w:t>
      </w:r>
      <w:proofErr w:type="spellEnd"/>
      <w:r w:rsidRPr="0021101F">
        <w:rPr>
          <w:rFonts w:ascii="Times New Roman" w:hAnsi="Times New Roman" w:cs="Times New Roman"/>
          <w:i/>
          <w:sz w:val="24"/>
          <w:szCs w:val="24"/>
          <w:lang w:val="es-MX"/>
        </w:rPr>
        <w:t xml:space="preserve"> </w:t>
      </w:r>
      <w:proofErr w:type="spellStart"/>
      <w:r w:rsidRPr="0021101F">
        <w:rPr>
          <w:rFonts w:ascii="Times New Roman" w:hAnsi="Times New Roman" w:cs="Times New Roman"/>
          <w:i/>
          <w:sz w:val="24"/>
          <w:szCs w:val="24"/>
          <w:lang w:val="es-MX"/>
        </w:rPr>
        <w:t>Observatory</w:t>
      </w:r>
      <w:proofErr w:type="spellEnd"/>
      <w:r w:rsidRPr="0021101F">
        <w:rPr>
          <w:rFonts w:ascii="Times New Roman" w:hAnsi="Times New Roman" w:cs="Times New Roman"/>
          <w:i/>
          <w:sz w:val="24"/>
          <w:szCs w:val="24"/>
          <w:lang w:val="es-MX"/>
        </w:rPr>
        <w:t xml:space="preserve"> (EPOV)</w:t>
      </w:r>
      <w:r>
        <w:rPr>
          <w:rFonts w:ascii="Times New Roman" w:hAnsi="Times New Roman" w:cs="Times New Roman"/>
          <w:sz w:val="24"/>
          <w:szCs w:val="24"/>
          <w:lang w:val="es-MX"/>
        </w:rPr>
        <w:t>, ya que estas contienen estudios de caso, reportes anuales y reportes dedicados sobre pobreza energética para cada país miembro de la unión europea, y además, hacen uso de los indicadores que veremos a continuación.</w:t>
      </w:r>
    </w:p>
    <w:p w:rsidR="008C6F81" w:rsidRDefault="008C6F81" w:rsidP="00BB20C3">
      <w:pPr>
        <w:rPr>
          <w:rFonts w:ascii="Times New Roman" w:hAnsi="Times New Roman" w:cs="Times New Roman"/>
          <w:sz w:val="24"/>
          <w:szCs w:val="24"/>
          <w:lang w:val="es-MX"/>
        </w:rPr>
      </w:pPr>
    </w:p>
    <w:p w:rsidR="008C6F81" w:rsidRDefault="008C6F81" w:rsidP="008C6F81">
      <w:pPr>
        <w:pStyle w:val="Prrafodelista"/>
        <w:numPr>
          <w:ilvl w:val="0"/>
          <w:numId w:val="1"/>
        </w:numPr>
        <w:rPr>
          <w:rFonts w:ascii="Times New Roman" w:hAnsi="Times New Roman" w:cs="Times New Roman"/>
          <w:sz w:val="28"/>
          <w:szCs w:val="28"/>
          <w:lang w:val="es-MX"/>
        </w:rPr>
      </w:pPr>
      <w:r>
        <w:rPr>
          <w:rFonts w:ascii="Times New Roman" w:hAnsi="Times New Roman" w:cs="Times New Roman"/>
          <w:sz w:val="28"/>
          <w:szCs w:val="28"/>
          <w:lang w:val="es-MX"/>
        </w:rPr>
        <w:t>Indicadores</w:t>
      </w:r>
    </w:p>
    <w:p w:rsidR="00BD7490" w:rsidRDefault="00BD7490" w:rsidP="00312E19">
      <w:pPr>
        <w:spacing w:line="276" w:lineRule="auto"/>
        <w:ind w:firstLine="360"/>
        <w:jc w:val="both"/>
        <w:rPr>
          <w:rFonts w:ascii="Times New Roman" w:hAnsi="Times New Roman" w:cs="Times New Roman"/>
          <w:sz w:val="24"/>
          <w:szCs w:val="24"/>
          <w:lang w:val="es-MX"/>
        </w:rPr>
      </w:pPr>
      <w:r>
        <w:rPr>
          <w:rFonts w:ascii="Times New Roman" w:hAnsi="Times New Roman" w:cs="Times New Roman"/>
          <w:sz w:val="24"/>
          <w:szCs w:val="24"/>
          <w:lang w:val="es-MX"/>
        </w:rPr>
        <w:t>Los indicadores que se tratan en el centro pueden ser de dos grupos: locales o nacionales. Los indicadores locales están enfocados en facilitar la correcta identificación de pobreza energética en una o varias comunidades. Para este fin, el Centro diseño 56 indicadores. Se advierte que no todos los 56 indicadores pueden ser relevantes en una comunidad, y por ende, se requiere revisión manual y razonamiento por parte de autoridades locales de cuales son relevantes y fáciles de mantener con el paso del tiempo. Sin embargo de cuales se selecciona o no, todos los indicadores construidos por el centro se pueden agrupar en seis ejes temáticos: clima, infraestructura, movilidad, socioeconómicos, regulatorios, y participación ciudadana.</w:t>
      </w:r>
    </w:p>
    <w:p w:rsidR="00CB72F7" w:rsidRDefault="00312E19" w:rsidP="00312E19">
      <w:pPr>
        <w:spacing w:line="276" w:lineRule="auto"/>
        <w:ind w:firstLine="36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Sin embargo, el conjunto de indicadores más novedosos del Centro son los nacionales. En 2022, se </w:t>
      </w:r>
      <w:r w:rsidR="00CB72F7">
        <w:rPr>
          <w:rFonts w:ascii="Times New Roman" w:hAnsi="Times New Roman" w:cs="Times New Roman"/>
          <w:sz w:val="24"/>
          <w:szCs w:val="24"/>
          <w:lang w:val="es-MX"/>
        </w:rPr>
        <w:t>lanzó un visor interactivo de datos, el cual ha sido actualizado hasta Octubre del 2023. De manera similar a los indicadores locales, los nacionales se dividen en cuatro ejes temáticos: clima, infraestructura, movilidad, socioeconómicos. Estos ejes a su vez contienen una amplia variedad de métricas las cuales se muestran a continuación</w:t>
      </w:r>
      <w:r w:rsidR="00320CBF">
        <w:rPr>
          <w:rFonts w:ascii="Times New Roman" w:hAnsi="Times New Roman" w:cs="Times New Roman"/>
          <w:sz w:val="24"/>
          <w:szCs w:val="24"/>
          <w:lang w:val="es-MX"/>
        </w:rPr>
        <w:t>.</w:t>
      </w:r>
    </w:p>
    <w:p w:rsidR="00CB72F7" w:rsidRDefault="00CB72F7" w:rsidP="00312E19">
      <w:pPr>
        <w:spacing w:line="276" w:lineRule="auto"/>
        <w:ind w:firstLine="360"/>
        <w:jc w:val="both"/>
        <w:rPr>
          <w:rFonts w:ascii="Times New Roman" w:hAnsi="Times New Roman" w:cs="Times New Roman"/>
          <w:sz w:val="24"/>
          <w:szCs w:val="24"/>
          <w:lang w:val="es-MX"/>
        </w:rPr>
      </w:pPr>
    </w:p>
    <w:p w:rsidR="00CB72F7" w:rsidRDefault="00CB72F7" w:rsidP="00312E19">
      <w:pPr>
        <w:spacing w:line="276" w:lineRule="auto"/>
        <w:ind w:firstLine="360"/>
        <w:jc w:val="both"/>
        <w:rPr>
          <w:rFonts w:ascii="Times New Roman" w:hAnsi="Times New Roman" w:cs="Times New Roman"/>
          <w:sz w:val="24"/>
          <w:szCs w:val="24"/>
          <w:lang w:val="es-MX"/>
        </w:rPr>
      </w:pPr>
    </w:p>
    <w:p w:rsidR="00CB72F7" w:rsidRDefault="005219FC" w:rsidP="00312E19">
      <w:pPr>
        <w:spacing w:line="276" w:lineRule="auto"/>
        <w:ind w:firstLine="360"/>
        <w:jc w:val="both"/>
        <w:rPr>
          <w:rFonts w:ascii="Times New Roman" w:hAnsi="Times New Roman" w:cs="Times New Roman"/>
          <w:sz w:val="24"/>
          <w:szCs w:val="24"/>
          <w:lang w:val="es-MX"/>
        </w:rPr>
      </w:pPr>
      <w:r w:rsidRPr="00CB72F7">
        <w:rPr>
          <w:rFonts w:ascii="Times New Roman" w:hAnsi="Times New Roman" w:cs="Times New Roman"/>
          <w:noProof/>
          <w:sz w:val="24"/>
          <w:szCs w:val="24"/>
          <w:lang w:eastAsia="es-CO"/>
        </w:rPr>
        <w:lastRenderedPageBreak/>
        <w:drawing>
          <wp:anchor distT="0" distB="0" distL="114300" distR="114300" simplePos="0" relativeHeight="251659264" behindDoc="0" locked="0" layoutInCell="1" allowOverlap="1">
            <wp:simplePos x="0" y="0"/>
            <wp:positionH relativeFrom="column">
              <wp:posOffset>3196332</wp:posOffset>
            </wp:positionH>
            <wp:positionV relativeFrom="paragraph">
              <wp:posOffset>-100268</wp:posOffset>
            </wp:positionV>
            <wp:extent cx="2929172" cy="2501375"/>
            <wp:effectExtent l="0" t="0" r="508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29172" cy="2501375"/>
                    </a:xfrm>
                    <a:prstGeom prst="rect">
                      <a:avLst/>
                    </a:prstGeom>
                  </pic:spPr>
                </pic:pic>
              </a:graphicData>
            </a:graphic>
            <wp14:sizeRelH relativeFrom="margin">
              <wp14:pctWidth>0</wp14:pctWidth>
            </wp14:sizeRelH>
            <wp14:sizeRelV relativeFrom="margin">
              <wp14:pctHeight>0</wp14:pctHeight>
            </wp14:sizeRelV>
          </wp:anchor>
        </w:drawing>
      </w:r>
      <w:r w:rsidRPr="00CB72F7">
        <w:rPr>
          <w:rFonts w:ascii="Times New Roman" w:hAnsi="Times New Roman" w:cs="Times New Roman"/>
          <w:noProof/>
          <w:sz w:val="24"/>
          <w:szCs w:val="24"/>
          <w:lang w:eastAsia="es-CO"/>
        </w:rPr>
        <w:drawing>
          <wp:anchor distT="0" distB="0" distL="114300" distR="114300" simplePos="0" relativeHeight="251658240" behindDoc="0" locked="0" layoutInCell="1" allowOverlap="1">
            <wp:simplePos x="0" y="0"/>
            <wp:positionH relativeFrom="margin">
              <wp:posOffset>-83127</wp:posOffset>
            </wp:positionH>
            <wp:positionV relativeFrom="paragraph">
              <wp:posOffset>-604720</wp:posOffset>
            </wp:positionV>
            <wp:extent cx="3167079" cy="3007696"/>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8913"/>
                    <a:stretch/>
                  </pic:blipFill>
                  <pic:spPr bwMode="auto">
                    <a:xfrm>
                      <a:off x="0" y="0"/>
                      <a:ext cx="3167079" cy="30076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72F7" w:rsidRDefault="00CB72F7" w:rsidP="00312E19">
      <w:pPr>
        <w:spacing w:line="276" w:lineRule="auto"/>
        <w:ind w:firstLine="360"/>
        <w:jc w:val="both"/>
        <w:rPr>
          <w:rFonts w:ascii="Times New Roman" w:hAnsi="Times New Roman" w:cs="Times New Roman"/>
          <w:sz w:val="24"/>
          <w:szCs w:val="24"/>
          <w:lang w:val="es-MX"/>
        </w:rPr>
      </w:pPr>
    </w:p>
    <w:p w:rsidR="00CB72F7" w:rsidRDefault="00CB72F7" w:rsidP="00312E19">
      <w:pPr>
        <w:spacing w:line="276" w:lineRule="auto"/>
        <w:ind w:firstLine="360"/>
        <w:jc w:val="both"/>
        <w:rPr>
          <w:rFonts w:ascii="Times New Roman" w:hAnsi="Times New Roman" w:cs="Times New Roman"/>
          <w:sz w:val="24"/>
          <w:szCs w:val="24"/>
          <w:lang w:val="es-MX"/>
        </w:rPr>
      </w:pPr>
    </w:p>
    <w:p w:rsidR="00CB72F7" w:rsidRDefault="00CB72F7" w:rsidP="00312E19">
      <w:pPr>
        <w:spacing w:line="276" w:lineRule="auto"/>
        <w:ind w:firstLine="360"/>
        <w:jc w:val="both"/>
        <w:rPr>
          <w:rFonts w:ascii="Times New Roman" w:hAnsi="Times New Roman" w:cs="Times New Roman"/>
          <w:sz w:val="24"/>
          <w:szCs w:val="24"/>
          <w:lang w:val="es-MX"/>
        </w:rPr>
      </w:pPr>
    </w:p>
    <w:p w:rsidR="00CB72F7" w:rsidRDefault="00CB72F7" w:rsidP="00312E19">
      <w:pPr>
        <w:spacing w:line="276" w:lineRule="auto"/>
        <w:ind w:firstLine="360"/>
        <w:jc w:val="both"/>
        <w:rPr>
          <w:rFonts w:ascii="Times New Roman" w:hAnsi="Times New Roman" w:cs="Times New Roman"/>
          <w:sz w:val="24"/>
          <w:szCs w:val="24"/>
          <w:lang w:val="es-MX"/>
        </w:rPr>
      </w:pPr>
    </w:p>
    <w:p w:rsidR="00CB72F7" w:rsidRDefault="00CB72F7" w:rsidP="00312E19">
      <w:pPr>
        <w:spacing w:line="276" w:lineRule="auto"/>
        <w:ind w:firstLine="360"/>
        <w:jc w:val="both"/>
        <w:rPr>
          <w:rFonts w:ascii="Times New Roman" w:hAnsi="Times New Roman" w:cs="Times New Roman"/>
          <w:sz w:val="24"/>
          <w:szCs w:val="24"/>
          <w:lang w:val="es-MX"/>
        </w:rPr>
      </w:pPr>
    </w:p>
    <w:p w:rsidR="00312E19" w:rsidRDefault="00312E19" w:rsidP="00CB72F7">
      <w:pPr>
        <w:spacing w:line="276" w:lineRule="auto"/>
        <w:jc w:val="both"/>
        <w:rPr>
          <w:rFonts w:ascii="Times New Roman" w:hAnsi="Times New Roman" w:cs="Times New Roman"/>
          <w:sz w:val="24"/>
          <w:szCs w:val="24"/>
          <w:lang w:val="es-MX"/>
        </w:rPr>
      </w:pPr>
    </w:p>
    <w:p w:rsidR="00CB72F7" w:rsidRDefault="00CB72F7" w:rsidP="00CB72F7">
      <w:pPr>
        <w:spacing w:line="276" w:lineRule="auto"/>
        <w:jc w:val="both"/>
        <w:rPr>
          <w:rFonts w:ascii="Times New Roman" w:hAnsi="Times New Roman" w:cs="Times New Roman"/>
          <w:sz w:val="24"/>
          <w:szCs w:val="24"/>
          <w:lang w:val="es-MX"/>
        </w:rPr>
      </w:pPr>
    </w:p>
    <w:p w:rsidR="005219FC" w:rsidRDefault="005219FC" w:rsidP="00CB72F7">
      <w:pPr>
        <w:spacing w:line="276" w:lineRule="auto"/>
        <w:ind w:firstLine="360"/>
        <w:jc w:val="both"/>
        <w:rPr>
          <w:rFonts w:ascii="Times New Roman" w:hAnsi="Times New Roman" w:cs="Times New Roman"/>
          <w:sz w:val="24"/>
          <w:szCs w:val="24"/>
          <w:lang w:val="es-MX"/>
        </w:rPr>
      </w:pPr>
    </w:p>
    <w:p w:rsidR="00CB72F7" w:rsidRDefault="00CB72F7" w:rsidP="00CB72F7">
      <w:pPr>
        <w:spacing w:line="276" w:lineRule="auto"/>
        <w:ind w:firstLine="360"/>
        <w:jc w:val="both"/>
        <w:rPr>
          <w:rFonts w:ascii="Times New Roman" w:hAnsi="Times New Roman" w:cs="Times New Roman"/>
          <w:sz w:val="24"/>
          <w:szCs w:val="24"/>
          <w:lang w:val="es-MX"/>
        </w:rPr>
      </w:pPr>
      <w:r>
        <w:rPr>
          <w:rFonts w:ascii="Times New Roman" w:hAnsi="Times New Roman" w:cs="Times New Roman"/>
          <w:sz w:val="24"/>
          <w:szCs w:val="24"/>
          <w:lang w:val="es-MX"/>
        </w:rPr>
        <w:t>Dependiendo de la variable seleccionada, se muestra un mapa de los países europeos (y ciertos territorios de ultramar) con los valores de dicha variable en cada uno de ellos. Por ejemplo, el mapa para gasto final de hogares se vería de esta manera:</w:t>
      </w:r>
    </w:p>
    <w:p w:rsidR="00CB72F7" w:rsidRDefault="00CB72F7" w:rsidP="00CB72F7">
      <w:pPr>
        <w:spacing w:line="276" w:lineRule="auto"/>
        <w:ind w:firstLine="360"/>
        <w:jc w:val="both"/>
        <w:rPr>
          <w:rFonts w:ascii="Times New Roman" w:hAnsi="Times New Roman" w:cs="Times New Roman"/>
          <w:sz w:val="24"/>
          <w:szCs w:val="24"/>
          <w:lang w:val="es-MX"/>
        </w:rPr>
      </w:pPr>
    </w:p>
    <w:p w:rsidR="00CB72F7" w:rsidRDefault="00CB72F7" w:rsidP="00CB72F7">
      <w:pPr>
        <w:spacing w:line="276" w:lineRule="auto"/>
        <w:ind w:firstLine="360"/>
        <w:jc w:val="both"/>
        <w:rPr>
          <w:rFonts w:ascii="Times New Roman" w:hAnsi="Times New Roman" w:cs="Times New Roman"/>
          <w:sz w:val="24"/>
          <w:szCs w:val="24"/>
          <w:lang w:val="es-MX"/>
        </w:rPr>
      </w:pPr>
      <w:r w:rsidRPr="00CB72F7">
        <w:rPr>
          <w:rFonts w:ascii="Times New Roman" w:hAnsi="Times New Roman" w:cs="Times New Roman"/>
          <w:noProof/>
          <w:sz w:val="24"/>
          <w:szCs w:val="24"/>
          <w:lang w:eastAsia="es-CO"/>
        </w:rPr>
        <w:drawing>
          <wp:inline distT="0" distB="0" distL="0" distR="0" wp14:anchorId="22189AE9" wp14:editId="0C56EE6C">
            <wp:extent cx="5612130" cy="439737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97375"/>
                    </a:xfrm>
                    <a:prstGeom prst="rect">
                      <a:avLst/>
                    </a:prstGeom>
                  </pic:spPr>
                </pic:pic>
              </a:graphicData>
            </a:graphic>
          </wp:inline>
        </w:drawing>
      </w:r>
    </w:p>
    <w:p w:rsidR="00CB72F7" w:rsidRDefault="00CB72F7" w:rsidP="00CB72F7">
      <w:pPr>
        <w:spacing w:line="276" w:lineRule="auto"/>
        <w:jc w:val="both"/>
        <w:rPr>
          <w:rFonts w:ascii="Times New Roman" w:hAnsi="Times New Roman" w:cs="Times New Roman"/>
          <w:sz w:val="24"/>
          <w:szCs w:val="24"/>
          <w:lang w:val="es-MX"/>
        </w:rPr>
      </w:pPr>
    </w:p>
    <w:p w:rsidR="00CB72F7" w:rsidRDefault="00CB72F7" w:rsidP="00CB72F7">
      <w:pPr>
        <w:spacing w:line="276" w:lineRule="auto"/>
        <w:ind w:firstLine="360"/>
        <w:jc w:val="both"/>
        <w:rPr>
          <w:rFonts w:ascii="Times New Roman" w:hAnsi="Times New Roman" w:cs="Times New Roman"/>
          <w:sz w:val="24"/>
          <w:szCs w:val="24"/>
          <w:lang w:val="es-MX"/>
        </w:rPr>
      </w:pPr>
      <w:r>
        <w:rPr>
          <w:rFonts w:ascii="Times New Roman" w:hAnsi="Times New Roman" w:cs="Times New Roman"/>
          <w:sz w:val="24"/>
          <w:szCs w:val="24"/>
          <w:lang w:val="es-MX"/>
        </w:rPr>
        <w:t>Sin embargo, también se podría pedir que muestre todas las variables disponibles para un solo país, tal como se muestra a continuación con un país de ejemplo (Bélgica). En ambos casos, la información se puede exportar a formato CSV, XLSX o PDF, y para el caso particular de los mapas, estos se pueden exportar a formato PNG.</w:t>
      </w:r>
    </w:p>
    <w:p w:rsidR="00BD7490" w:rsidRDefault="00BD7490" w:rsidP="00685AAA">
      <w:pPr>
        <w:rPr>
          <w:rFonts w:ascii="Times New Roman" w:hAnsi="Times New Roman" w:cs="Times New Roman"/>
          <w:sz w:val="24"/>
          <w:szCs w:val="24"/>
          <w:lang w:val="es-MX"/>
        </w:rPr>
      </w:pPr>
    </w:p>
    <w:p w:rsidR="00BD7490" w:rsidRDefault="00BD7490" w:rsidP="00BD7490">
      <w:pPr>
        <w:ind w:firstLine="360"/>
        <w:rPr>
          <w:rFonts w:ascii="Times New Roman" w:hAnsi="Times New Roman" w:cs="Times New Roman"/>
          <w:sz w:val="24"/>
          <w:szCs w:val="24"/>
          <w:lang w:val="es-MX"/>
        </w:rPr>
      </w:pPr>
    </w:p>
    <w:p w:rsidR="0021101F" w:rsidRPr="0021101F" w:rsidRDefault="00BD7490" w:rsidP="00BD7490">
      <w:pPr>
        <w:ind w:firstLine="360"/>
        <w:rPr>
          <w:rFonts w:ascii="Times New Roman" w:hAnsi="Times New Roman" w:cs="Times New Roman"/>
          <w:sz w:val="24"/>
          <w:szCs w:val="24"/>
          <w:lang w:val="es-MX"/>
        </w:rPr>
      </w:pPr>
      <w:r>
        <w:rPr>
          <w:rFonts w:ascii="Times New Roman" w:hAnsi="Times New Roman" w:cs="Times New Roman"/>
          <w:sz w:val="24"/>
          <w:szCs w:val="24"/>
          <w:lang w:val="es-MX"/>
        </w:rPr>
        <w:t xml:space="preserve"> </w:t>
      </w:r>
    </w:p>
    <w:p w:rsidR="008C6F81" w:rsidRPr="008C6F81" w:rsidRDefault="00CB72F7" w:rsidP="008C6F81">
      <w:pPr>
        <w:rPr>
          <w:rFonts w:ascii="Times New Roman" w:hAnsi="Times New Roman" w:cs="Times New Roman"/>
          <w:sz w:val="28"/>
          <w:szCs w:val="28"/>
          <w:lang w:val="es-MX"/>
        </w:rPr>
      </w:pPr>
      <w:r w:rsidRPr="00CB72F7">
        <w:rPr>
          <w:rFonts w:ascii="Times New Roman" w:hAnsi="Times New Roman" w:cs="Times New Roman"/>
          <w:noProof/>
          <w:sz w:val="24"/>
          <w:szCs w:val="24"/>
          <w:lang w:eastAsia="es-CO"/>
        </w:rPr>
        <w:drawing>
          <wp:anchor distT="0" distB="0" distL="114300" distR="114300" simplePos="0" relativeHeight="251660288" behindDoc="0" locked="0" layoutInCell="1" allowOverlap="1">
            <wp:simplePos x="0" y="0"/>
            <wp:positionH relativeFrom="column">
              <wp:posOffset>120839</wp:posOffset>
            </wp:positionH>
            <wp:positionV relativeFrom="paragraph">
              <wp:posOffset>-604919</wp:posOffset>
            </wp:positionV>
            <wp:extent cx="5746135" cy="4413303"/>
            <wp:effectExtent l="0" t="0" r="698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46135" cy="4413303"/>
                    </a:xfrm>
                    <a:prstGeom prst="rect">
                      <a:avLst/>
                    </a:prstGeom>
                  </pic:spPr>
                </pic:pic>
              </a:graphicData>
            </a:graphic>
            <wp14:sizeRelH relativeFrom="page">
              <wp14:pctWidth>0</wp14:pctWidth>
            </wp14:sizeRelH>
            <wp14:sizeRelV relativeFrom="page">
              <wp14:pctHeight>0</wp14:pctHeight>
            </wp14:sizeRelV>
          </wp:anchor>
        </w:drawing>
      </w:r>
    </w:p>
    <w:p w:rsidR="008C6F81" w:rsidRPr="00CD347B" w:rsidRDefault="008C6F81" w:rsidP="008C6F81">
      <w:pPr>
        <w:ind w:firstLine="708"/>
        <w:rPr>
          <w:rFonts w:ascii="Times New Roman" w:hAnsi="Times New Roman" w:cs="Times New Roman"/>
          <w:sz w:val="24"/>
          <w:szCs w:val="24"/>
          <w:lang w:val="es-MX"/>
        </w:rPr>
      </w:pPr>
    </w:p>
    <w:p w:rsidR="00CD347B" w:rsidRDefault="00CD347B" w:rsidP="00365FF5">
      <w:pPr>
        <w:spacing w:line="276" w:lineRule="auto"/>
        <w:jc w:val="both"/>
        <w:rPr>
          <w:rFonts w:ascii="Times New Roman" w:hAnsi="Times New Roman" w:cs="Times New Roman"/>
          <w:sz w:val="24"/>
          <w:szCs w:val="24"/>
          <w:lang w:val="es-MX"/>
        </w:rPr>
      </w:pPr>
    </w:p>
    <w:p w:rsidR="00CD347B" w:rsidRDefault="00CD347B" w:rsidP="00365FF5">
      <w:pPr>
        <w:spacing w:line="276" w:lineRule="auto"/>
        <w:jc w:val="both"/>
        <w:rPr>
          <w:rFonts w:ascii="Times New Roman" w:hAnsi="Times New Roman" w:cs="Times New Roman"/>
          <w:sz w:val="24"/>
          <w:szCs w:val="24"/>
          <w:lang w:val="es-MX"/>
        </w:rPr>
      </w:pPr>
    </w:p>
    <w:p w:rsidR="00CD347B" w:rsidRDefault="00CD347B" w:rsidP="00365FF5">
      <w:pPr>
        <w:spacing w:line="276" w:lineRule="auto"/>
        <w:jc w:val="both"/>
        <w:rPr>
          <w:rFonts w:ascii="Times New Roman" w:hAnsi="Times New Roman" w:cs="Times New Roman"/>
          <w:sz w:val="24"/>
          <w:szCs w:val="24"/>
          <w:lang w:val="es-MX"/>
        </w:rPr>
      </w:pPr>
    </w:p>
    <w:p w:rsidR="00365FF5" w:rsidRDefault="00365FF5" w:rsidP="00365FF5">
      <w:pPr>
        <w:spacing w:line="276" w:lineRule="auto"/>
        <w:jc w:val="both"/>
        <w:rPr>
          <w:rFonts w:ascii="Times New Roman" w:hAnsi="Times New Roman" w:cs="Times New Roman"/>
          <w:sz w:val="24"/>
          <w:szCs w:val="24"/>
          <w:lang w:val="es-MX"/>
        </w:rPr>
      </w:pPr>
    </w:p>
    <w:p w:rsidR="00365FF5" w:rsidRDefault="00365FF5" w:rsidP="00365FF5">
      <w:pPr>
        <w:spacing w:line="276" w:lineRule="auto"/>
        <w:jc w:val="both"/>
        <w:rPr>
          <w:rFonts w:ascii="Times New Roman" w:hAnsi="Times New Roman" w:cs="Times New Roman"/>
          <w:sz w:val="24"/>
          <w:szCs w:val="24"/>
        </w:rPr>
      </w:pPr>
    </w:p>
    <w:p w:rsidR="00CB72F7" w:rsidRDefault="00CB72F7" w:rsidP="00365FF5">
      <w:pPr>
        <w:spacing w:line="276" w:lineRule="auto"/>
        <w:jc w:val="both"/>
        <w:rPr>
          <w:rFonts w:ascii="Times New Roman" w:hAnsi="Times New Roman" w:cs="Times New Roman"/>
          <w:sz w:val="24"/>
          <w:szCs w:val="24"/>
        </w:rPr>
      </w:pPr>
    </w:p>
    <w:p w:rsidR="00CB72F7" w:rsidRDefault="00CB72F7" w:rsidP="00365FF5">
      <w:pPr>
        <w:spacing w:line="276" w:lineRule="auto"/>
        <w:jc w:val="both"/>
        <w:rPr>
          <w:rFonts w:ascii="Times New Roman" w:hAnsi="Times New Roman" w:cs="Times New Roman"/>
          <w:sz w:val="24"/>
          <w:szCs w:val="24"/>
        </w:rPr>
      </w:pPr>
    </w:p>
    <w:p w:rsidR="00CB72F7" w:rsidRDefault="00CB72F7" w:rsidP="00365FF5">
      <w:pPr>
        <w:spacing w:line="276" w:lineRule="auto"/>
        <w:jc w:val="both"/>
        <w:rPr>
          <w:rFonts w:ascii="Times New Roman" w:hAnsi="Times New Roman" w:cs="Times New Roman"/>
          <w:sz w:val="24"/>
          <w:szCs w:val="24"/>
        </w:rPr>
      </w:pPr>
    </w:p>
    <w:p w:rsidR="00CB72F7" w:rsidRDefault="00CB72F7" w:rsidP="00365FF5">
      <w:pPr>
        <w:spacing w:line="276" w:lineRule="auto"/>
        <w:jc w:val="both"/>
        <w:rPr>
          <w:rFonts w:ascii="Times New Roman" w:hAnsi="Times New Roman" w:cs="Times New Roman"/>
          <w:sz w:val="24"/>
          <w:szCs w:val="24"/>
        </w:rPr>
      </w:pPr>
    </w:p>
    <w:p w:rsidR="00CB72F7" w:rsidRDefault="00CB72F7" w:rsidP="00365FF5">
      <w:pPr>
        <w:spacing w:line="276" w:lineRule="auto"/>
        <w:jc w:val="both"/>
        <w:rPr>
          <w:rFonts w:ascii="Times New Roman" w:hAnsi="Times New Roman" w:cs="Times New Roman"/>
          <w:sz w:val="24"/>
          <w:szCs w:val="24"/>
        </w:rPr>
      </w:pPr>
    </w:p>
    <w:p w:rsidR="00CB72F7" w:rsidRDefault="00CB72F7" w:rsidP="00365FF5">
      <w:pPr>
        <w:spacing w:line="276" w:lineRule="auto"/>
        <w:jc w:val="both"/>
        <w:rPr>
          <w:rFonts w:ascii="Times New Roman" w:hAnsi="Times New Roman" w:cs="Times New Roman"/>
          <w:sz w:val="24"/>
          <w:szCs w:val="24"/>
        </w:rPr>
      </w:pPr>
    </w:p>
    <w:p w:rsidR="00CB72F7" w:rsidRDefault="00CB72F7" w:rsidP="00365FF5">
      <w:pPr>
        <w:spacing w:line="276" w:lineRule="auto"/>
        <w:jc w:val="both"/>
        <w:rPr>
          <w:rFonts w:ascii="Times New Roman" w:hAnsi="Times New Roman" w:cs="Times New Roman"/>
          <w:sz w:val="24"/>
          <w:szCs w:val="24"/>
        </w:rPr>
      </w:pPr>
    </w:p>
    <w:p w:rsidR="004B5B51" w:rsidRDefault="00CB72F7" w:rsidP="005A7476">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otra parte, una ficha técnica </w:t>
      </w:r>
      <w:r w:rsidR="00B20162">
        <w:rPr>
          <w:rFonts w:ascii="Times New Roman" w:hAnsi="Times New Roman" w:cs="Times New Roman"/>
          <w:sz w:val="24"/>
          <w:szCs w:val="24"/>
        </w:rPr>
        <w:t xml:space="preserve">detallada de cada variable, junto con la pregunta sobre la cual se extrae la información, </w:t>
      </w:r>
      <w:r>
        <w:rPr>
          <w:rFonts w:ascii="Times New Roman" w:hAnsi="Times New Roman" w:cs="Times New Roman"/>
          <w:sz w:val="24"/>
          <w:szCs w:val="24"/>
        </w:rPr>
        <w:t xml:space="preserve">se puede encontrar en el </w:t>
      </w:r>
      <w:r w:rsidR="00B20162">
        <w:rPr>
          <w:rFonts w:ascii="Times New Roman" w:hAnsi="Times New Roman" w:cs="Times New Roman"/>
          <w:sz w:val="24"/>
          <w:szCs w:val="24"/>
        </w:rPr>
        <w:t xml:space="preserve">capítulo 4 del </w:t>
      </w:r>
      <w:r>
        <w:rPr>
          <w:rFonts w:ascii="Times New Roman" w:hAnsi="Times New Roman" w:cs="Times New Roman"/>
          <w:sz w:val="24"/>
          <w:szCs w:val="24"/>
        </w:rPr>
        <w:t>documento “</w:t>
      </w:r>
      <w:proofErr w:type="spellStart"/>
      <w:r w:rsidR="00B20162">
        <w:rPr>
          <w:rFonts w:ascii="Times New Roman" w:hAnsi="Times New Roman" w:cs="Times New Roman"/>
          <w:i/>
          <w:sz w:val="24"/>
          <w:szCs w:val="24"/>
        </w:rPr>
        <w:fldChar w:fldCharType="begin"/>
      </w:r>
      <w:r w:rsidR="00B20162">
        <w:rPr>
          <w:rFonts w:ascii="Times New Roman" w:hAnsi="Times New Roman" w:cs="Times New Roman"/>
          <w:i/>
          <w:sz w:val="24"/>
          <w:szCs w:val="24"/>
        </w:rPr>
        <w:instrText xml:space="preserve"> HYPERLINK "https://energy-poverty.ec.europa.eu/discover/publications/publications/energy-poverty-national-indicators-insights-more-effective-measuring_en" </w:instrText>
      </w:r>
      <w:r w:rsidR="00B20162">
        <w:rPr>
          <w:rFonts w:ascii="Times New Roman" w:hAnsi="Times New Roman" w:cs="Times New Roman"/>
          <w:i/>
          <w:sz w:val="24"/>
          <w:szCs w:val="24"/>
        </w:rPr>
        <w:fldChar w:fldCharType="separate"/>
      </w:r>
      <w:r w:rsidRPr="00B20162">
        <w:rPr>
          <w:rStyle w:val="Hipervnculo"/>
          <w:rFonts w:ascii="Times New Roman" w:hAnsi="Times New Roman" w:cs="Times New Roman"/>
          <w:i/>
          <w:sz w:val="24"/>
          <w:szCs w:val="24"/>
        </w:rPr>
        <w:t>Energy</w:t>
      </w:r>
      <w:proofErr w:type="spellEnd"/>
      <w:r w:rsidRPr="00B20162">
        <w:rPr>
          <w:rStyle w:val="Hipervnculo"/>
          <w:rFonts w:ascii="Times New Roman" w:hAnsi="Times New Roman" w:cs="Times New Roman"/>
          <w:i/>
          <w:sz w:val="24"/>
          <w:szCs w:val="24"/>
        </w:rPr>
        <w:t xml:space="preserve"> </w:t>
      </w:r>
      <w:proofErr w:type="spellStart"/>
      <w:r w:rsidRPr="00B20162">
        <w:rPr>
          <w:rStyle w:val="Hipervnculo"/>
          <w:rFonts w:ascii="Times New Roman" w:hAnsi="Times New Roman" w:cs="Times New Roman"/>
          <w:i/>
          <w:sz w:val="24"/>
          <w:szCs w:val="24"/>
        </w:rPr>
        <w:t>Poverty</w:t>
      </w:r>
      <w:proofErr w:type="spellEnd"/>
      <w:r w:rsidRPr="00B20162">
        <w:rPr>
          <w:rStyle w:val="Hipervnculo"/>
          <w:rFonts w:ascii="Times New Roman" w:hAnsi="Times New Roman" w:cs="Times New Roman"/>
          <w:i/>
          <w:sz w:val="24"/>
          <w:szCs w:val="24"/>
        </w:rPr>
        <w:t xml:space="preserve"> </w:t>
      </w:r>
      <w:proofErr w:type="spellStart"/>
      <w:r w:rsidRPr="00B20162">
        <w:rPr>
          <w:rStyle w:val="Hipervnculo"/>
          <w:rFonts w:ascii="Times New Roman" w:hAnsi="Times New Roman" w:cs="Times New Roman"/>
          <w:i/>
          <w:sz w:val="24"/>
          <w:szCs w:val="24"/>
        </w:rPr>
        <w:t>National</w:t>
      </w:r>
      <w:proofErr w:type="spellEnd"/>
      <w:r w:rsidRPr="00B20162">
        <w:rPr>
          <w:rStyle w:val="Hipervnculo"/>
          <w:rFonts w:ascii="Times New Roman" w:hAnsi="Times New Roman" w:cs="Times New Roman"/>
          <w:i/>
          <w:sz w:val="24"/>
          <w:szCs w:val="24"/>
        </w:rPr>
        <w:t xml:space="preserve"> </w:t>
      </w:r>
      <w:proofErr w:type="spellStart"/>
      <w:r w:rsidRPr="00B20162">
        <w:rPr>
          <w:rStyle w:val="Hipervnculo"/>
          <w:rFonts w:ascii="Times New Roman" w:hAnsi="Times New Roman" w:cs="Times New Roman"/>
          <w:i/>
          <w:sz w:val="24"/>
          <w:szCs w:val="24"/>
        </w:rPr>
        <w:t>Indicators</w:t>
      </w:r>
      <w:proofErr w:type="spellEnd"/>
      <w:r w:rsidRPr="00B20162">
        <w:rPr>
          <w:rStyle w:val="Hipervnculo"/>
          <w:rFonts w:ascii="Times New Roman" w:hAnsi="Times New Roman" w:cs="Times New Roman"/>
          <w:i/>
          <w:sz w:val="24"/>
          <w:szCs w:val="24"/>
        </w:rPr>
        <w:t xml:space="preserve">: </w:t>
      </w:r>
      <w:proofErr w:type="spellStart"/>
      <w:r w:rsidRPr="00B20162">
        <w:rPr>
          <w:rStyle w:val="Hipervnculo"/>
          <w:rFonts w:ascii="Times New Roman" w:hAnsi="Times New Roman" w:cs="Times New Roman"/>
          <w:i/>
          <w:sz w:val="24"/>
          <w:szCs w:val="24"/>
        </w:rPr>
        <w:t>Insights</w:t>
      </w:r>
      <w:proofErr w:type="spellEnd"/>
      <w:r w:rsidRPr="00B20162">
        <w:rPr>
          <w:rStyle w:val="Hipervnculo"/>
          <w:rFonts w:ascii="Times New Roman" w:hAnsi="Times New Roman" w:cs="Times New Roman"/>
          <w:i/>
          <w:sz w:val="24"/>
          <w:szCs w:val="24"/>
        </w:rPr>
        <w:t xml:space="preserve"> </w:t>
      </w:r>
      <w:proofErr w:type="spellStart"/>
      <w:r w:rsidRPr="00B20162">
        <w:rPr>
          <w:rStyle w:val="Hipervnculo"/>
          <w:rFonts w:ascii="Times New Roman" w:hAnsi="Times New Roman" w:cs="Times New Roman"/>
          <w:i/>
          <w:sz w:val="24"/>
          <w:szCs w:val="24"/>
        </w:rPr>
        <w:t>for</w:t>
      </w:r>
      <w:proofErr w:type="spellEnd"/>
      <w:r w:rsidRPr="00B20162">
        <w:rPr>
          <w:rStyle w:val="Hipervnculo"/>
          <w:rFonts w:ascii="Times New Roman" w:hAnsi="Times New Roman" w:cs="Times New Roman"/>
          <w:i/>
          <w:sz w:val="24"/>
          <w:szCs w:val="24"/>
        </w:rPr>
        <w:t xml:space="preserve"> a more </w:t>
      </w:r>
      <w:proofErr w:type="spellStart"/>
      <w:r w:rsidRPr="00B20162">
        <w:rPr>
          <w:rStyle w:val="Hipervnculo"/>
          <w:rFonts w:ascii="Times New Roman" w:hAnsi="Times New Roman" w:cs="Times New Roman"/>
          <w:i/>
          <w:sz w:val="24"/>
          <w:szCs w:val="24"/>
        </w:rPr>
        <w:t>e</w:t>
      </w:r>
      <w:r w:rsidRPr="00B20162">
        <w:rPr>
          <w:rStyle w:val="Hipervnculo"/>
          <w:rFonts w:ascii="Times New Roman" w:hAnsi="Times New Roman" w:cs="Times New Roman"/>
          <w:i/>
          <w:sz w:val="24"/>
          <w:szCs w:val="24"/>
        </w:rPr>
        <w:t>f</w:t>
      </w:r>
      <w:r w:rsidRPr="00B20162">
        <w:rPr>
          <w:rStyle w:val="Hipervnculo"/>
          <w:rFonts w:ascii="Times New Roman" w:hAnsi="Times New Roman" w:cs="Times New Roman"/>
          <w:i/>
          <w:sz w:val="24"/>
          <w:szCs w:val="24"/>
        </w:rPr>
        <w:t>fective</w:t>
      </w:r>
      <w:proofErr w:type="spellEnd"/>
      <w:r w:rsidRPr="00B20162">
        <w:rPr>
          <w:rStyle w:val="Hipervnculo"/>
          <w:rFonts w:ascii="Times New Roman" w:hAnsi="Times New Roman" w:cs="Times New Roman"/>
          <w:i/>
          <w:sz w:val="24"/>
          <w:szCs w:val="24"/>
        </w:rPr>
        <w:t xml:space="preserve"> </w:t>
      </w:r>
      <w:proofErr w:type="spellStart"/>
      <w:r w:rsidRPr="00B20162">
        <w:rPr>
          <w:rStyle w:val="Hipervnculo"/>
          <w:rFonts w:ascii="Times New Roman" w:hAnsi="Times New Roman" w:cs="Times New Roman"/>
          <w:i/>
          <w:sz w:val="24"/>
          <w:szCs w:val="24"/>
        </w:rPr>
        <w:t>measuring</w:t>
      </w:r>
      <w:proofErr w:type="spellEnd"/>
      <w:r w:rsidR="00B20162">
        <w:rPr>
          <w:rFonts w:ascii="Times New Roman" w:hAnsi="Times New Roman" w:cs="Times New Roman"/>
          <w:i/>
          <w:sz w:val="24"/>
          <w:szCs w:val="24"/>
        </w:rPr>
        <w:fldChar w:fldCharType="end"/>
      </w:r>
      <w:r>
        <w:rPr>
          <w:rFonts w:ascii="Times New Roman" w:hAnsi="Times New Roman" w:cs="Times New Roman"/>
          <w:sz w:val="24"/>
          <w:szCs w:val="24"/>
        </w:rPr>
        <w:t>”, publicado por el Centro</w:t>
      </w:r>
      <w:r w:rsidR="00320CBF">
        <w:rPr>
          <w:rFonts w:ascii="Times New Roman" w:hAnsi="Times New Roman" w:cs="Times New Roman"/>
          <w:sz w:val="24"/>
          <w:szCs w:val="24"/>
        </w:rPr>
        <w:t>, que a su vez hace uso intensivo de las fichas técnicas provistas</w:t>
      </w:r>
      <w:r w:rsidR="005A7476">
        <w:rPr>
          <w:rFonts w:ascii="Times New Roman" w:hAnsi="Times New Roman" w:cs="Times New Roman"/>
          <w:sz w:val="24"/>
          <w:szCs w:val="24"/>
        </w:rPr>
        <w:t xml:space="preserve"> por EUROSTAT para sus encuestas y otras medidas similares. Así, por ejemplo, una variable como </w:t>
      </w:r>
      <w:r w:rsidR="005A7476" w:rsidRPr="00425CCE">
        <w:rPr>
          <w:rFonts w:ascii="Times New Roman" w:hAnsi="Times New Roman" w:cs="Times New Roman"/>
          <w:i/>
          <w:sz w:val="24"/>
          <w:szCs w:val="24"/>
        </w:rPr>
        <w:t>Deudas sobre servicios públicos</w:t>
      </w:r>
      <w:r w:rsidR="005A7476">
        <w:rPr>
          <w:rFonts w:ascii="Times New Roman" w:hAnsi="Times New Roman" w:cs="Times New Roman"/>
          <w:sz w:val="24"/>
          <w:szCs w:val="24"/>
        </w:rPr>
        <w:t xml:space="preserve"> tiene su ficha técnica provista por EUROSTAT, junto con detalles sobre el rango de tiempo, identificador interno y fuente.</w:t>
      </w:r>
    </w:p>
    <w:p w:rsidR="004B5B51" w:rsidRDefault="004B5B51" w:rsidP="00CB72F7">
      <w:pPr>
        <w:spacing w:line="276" w:lineRule="auto"/>
        <w:ind w:firstLine="708"/>
        <w:jc w:val="both"/>
        <w:rPr>
          <w:rFonts w:ascii="Times New Roman" w:hAnsi="Times New Roman" w:cs="Times New Roman"/>
          <w:sz w:val="24"/>
          <w:szCs w:val="24"/>
        </w:rPr>
      </w:pPr>
      <w:bookmarkStart w:id="0" w:name="_GoBack"/>
      <w:bookmarkEnd w:id="0"/>
    </w:p>
    <w:p w:rsidR="003C2F1D" w:rsidRDefault="003C2F1D" w:rsidP="003C2F1D">
      <w:pPr>
        <w:pStyle w:val="Prrafodelista"/>
        <w:numPr>
          <w:ilvl w:val="0"/>
          <w:numId w:val="1"/>
        </w:numPr>
        <w:rPr>
          <w:rFonts w:ascii="Times New Roman" w:hAnsi="Times New Roman" w:cs="Times New Roman"/>
          <w:sz w:val="28"/>
          <w:szCs w:val="28"/>
          <w:lang w:val="es-MX"/>
        </w:rPr>
      </w:pPr>
      <w:r>
        <w:rPr>
          <w:rFonts w:ascii="Times New Roman" w:hAnsi="Times New Roman" w:cs="Times New Roman"/>
          <w:sz w:val="28"/>
          <w:szCs w:val="28"/>
          <w:lang w:val="es-MX"/>
        </w:rPr>
        <w:lastRenderedPageBreak/>
        <w:t>Alternativas internacionales</w:t>
      </w:r>
    </w:p>
    <w:p w:rsidR="004B5B51" w:rsidRDefault="003C2F1D" w:rsidP="00685AAA">
      <w:pPr>
        <w:spacing w:line="276" w:lineRule="auto"/>
        <w:ind w:firstLine="360"/>
        <w:rPr>
          <w:rFonts w:ascii="Times New Roman" w:hAnsi="Times New Roman" w:cs="Times New Roman"/>
          <w:sz w:val="24"/>
          <w:szCs w:val="24"/>
          <w:lang w:val="es-MX"/>
        </w:rPr>
      </w:pPr>
      <w:r>
        <w:rPr>
          <w:rFonts w:ascii="Times New Roman" w:hAnsi="Times New Roman" w:cs="Times New Roman"/>
          <w:sz w:val="24"/>
          <w:szCs w:val="24"/>
          <w:lang w:val="es-MX"/>
        </w:rPr>
        <w:t>Una de las organizaciones más populares es la</w:t>
      </w:r>
      <w:r w:rsidRPr="003C2F1D">
        <w:rPr>
          <w:rFonts w:ascii="Times New Roman" w:hAnsi="Times New Roman" w:cs="Times New Roman"/>
          <w:i/>
          <w:sz w:val="24"/>
          <w:szCs w:val="24"/>
          <w:lang w:val="es-MX"/>
        </w:rPr>
        <w:t xml:space="preserve"> </w:t>
      </w:r>
      <w:hyperlink r:id="rId9" w:history="1">
        <w:r w:rsidRPr="00C73C72">
          <w:rPr>
            <w:rStyle w:val="Hipervnculo"/>
            <w:rFonts w:ascii="Times New Roman" w:hAnsi="Times New Roman" w:cs="Times New Roman"/>
            <w:i/>
            <w:sz w:val="24"/>
            <w:szCs w:val="24"/>
            <w:lang w:val="es-MX"/>
          </w:rPr>
          <w:t xml:space="preserve">International </w:t>
        </w:r>
        <w:proofErr w:type="spellStart"/>
        <w:r w:rsidRPr="00C73C72">
          <w:rPr>
            <w:rStyle w:val="Hipervnculo"/>
            <w:rFonts w:ascii="Times New Roman" w:hAnsi="Times New Roman" w:cs="Times New Roman"/>
            <w:i/>
            <w:sz w:val="24"/>
            <w:szCs w:val="24"/>
            <w:lang w:val="es-MX"/>
          </w:rPr>
          <w:t>Energy</w:t>
        </w:r>
        <w:proofErr w:type="spellEnd"/>
        <w:r w:rsidRPr="00C73C72">
          <w:rPr>
            <w:rStyle w:val="Hipervnculo"/>
            <w:rFonts w:ascii="Times New Roman" w:hAnsi="Times New Roman" w:cs="Times New Roman"/>
            <w:i/>
            <w:sz w:val="24"/>
            <w:szCs w:val="24"/>
            <w:lang w:val="es-MX"/>
          </w:rPr>
          <w:t xml:space="preserve"> Agency</w:t>
        </w:r>
        <w:r w:rsidRPr="00C73C72">
          <w:rPr>
            <w:rStyle w:val="Hipervnculo"/>
            <w:rFonts w:ascii="Times New Roman" w:hAnsi="Times New Roman" w:cs="Times New Roman"/>
            <w:sz w:val="24"/>
            <w:szCs w:val="24"/>
            <w:lang w:val="es-MX"/>
          </w:rPr>
          <w:t xml:space="preserve"> (IEA)</w:t>
        </w:r>
      </w:hyperlink>
      <w:r w:rsidR="004B5B51">
        <w:rPr>
          <w:rFonts w:ascii="Times New Roman" w:hAnsi="Times New Roman" w:cs="Times New Roman"/>
          <w:sz w:val="24"/>
          <w:szCs w:val="24"/>
          <w:lang w:val="es-MX"/>
        </w:rPr>
        <w:t>, la cual está enmarcada en la estructura organizacional de la OECD.</w:t>
      </w:r>
      <w:r>
        <w:rPr>
          <w:rFonts w:ascii="Times New Roman" w:hAnsi="Times New Roman" w:cs="Times New Roman"/>
          <w:sz w:val="24"/>
          <w:szCs w:val="24"/>
          <w:lang w:val="es-MX"/>
        </w:rPr>
        <w:t xml:space="preserve"> Si bien esta agencia no trata exclusivamente pobreza energética como el EPAH, </w:t>
      </w:r>
      <w:r w:rsidR="00C73C72">
        <w:rPr>
          <w:rFonts w:ascii="Times New Roman" w:hAnsi="Times New Roman" w:cs="Times New Roman"/>
          <w:sz w:val="24"/>
          <w:szCs w:val="24"/>
          <w:lang w:val="es-MX"/>
        </w:rPr>
        <w:t>tienen un componente de seguridad energética, en el cual analizan  riesgos actuales y futuros de la generación de energía, junt</w:t>
      </w:r>
      <w:r w:rsidR="004B5B51">
        <w:rPr>
          <w:rFonts w:ascii="Times New Roman" w:hAnsi="Times New Roman" w:cs="Times New Roman"/>
          <w:sz w:val="24"/>
          <w:szCs w:val="24"/>
          <w:lang w:val="es-MX"/>
        </w:rPr>
        <w:t>o con su impacto a la sociedad y</w:t>
      </w:r>
      <w:r w:rsidR="00C73C72">
        <w:rPr>
          <w:rFonts w:ascii="Times New Roman" w:hAnsi="Times New Roman" w:cs="Times New Roman"/>
          <w:sz w:val="24"/>
          <w:szCs w:val="24"/>
          <w:lang w:val="es-MX"/>
        </w:rPr>
        <w:t xml:space="preserve"> oportunidades para crear flexibilidad y resiliencia en los sistemas generadores. </w:t>
      </w:r>
    </w:p>
    <w:p w:rsidR="00C73C72" w:rsidRPr="004B5B51" w:rsidRDefault="00C73C72" w:rsidP="00685AAA">
      <w:pPr>
        <w:spacing w:line="276" w:lineRule="auto"/>
        <w:ind w:firstLine="360"/>
        <w:rPr>
          <w:rFonts w:ascii="Times New Roman" w:hAnsi="Times New Roman" w:cs="Times New Roman"/>
          <w:sz w:val="24"/>
          <w:szCs w:val="24"/>
        </w:rPr>
      </w:pPr>
      <w:r>
        <w:rPr>
          <w:rFonts w:ascii="Times New Roman" w:hAnsi="Times New Roman" w:cs="Times New Roman"/>
          <w:sz w:val="24"/>
          <w:szCs w:val="24"/>
          <w:lang w:val="es-MX"/>
        </w:rPr>
        <w:t xml:space="preserve">La IEA, similar al EPAH, tiene en su sitio web publicaciones anuales y bases de datos sobre una amplia variedad de temas, incluyendo seguridad energética. </w:t>
      </w:r>
      <w:r w:rsidR="004B5B51" w:rsidRPr="004B5B51">
        <w:rPr>
          <w:rFonts w:ascii="Times New Roman" w:hAnsi="Times New Roman" w:cs="Times New Roman"/>
          <w:sz w:val="24"/>
          <w:szCs w:val="24"/>
        </w:rPr>
        <w:t>El informe más reciente, titulado “</w:t>
      </w:r>
      <w:proofErr w:type="spellStart"/>
      <w:r w:rsidR="004B5B51" w:rsidRPr="004B5B51">
        <w:rPr>
          <w:rFonts w:ascii="Times New Roman" w:hAnsi="Times New Roman" w:cs="Times New Roman"/>
          <w:sz w:val="24"/>
          <w:szCs w:val="24"/>
        </w:rPr>
        <w:t>World</w:t>
      </w:r>
      <w:proofErr w:type="spellEnd"/>
      <w:r w:rsidR="004B5B51" w:rsidRPr="004B5B51">
        <w:rPr>
          <w:rFonts w:ascii="Times New Roman" w:hAnsi="Times New Roman" w:cs="Times New Roman"/>
          <w:sz w:val="24"/>
          <w:szCs w:val="24"/>
        </w:rPr>
        <w:t xml:space="preserve"> </w:t>
      </w:r>
      <w:proofErr w:type="spellStart"/>
      <w:r w:rsidR="004B5B51" w:rsidRPr="004B5B51">
        <w:rPr>
          <w:rFonts w:ascii="Times New Roman" w:hAnsi="Times New Roman" w:cs="Times New Roman"/>
          <w:sz w:val="24"/>
          <w:szCs w:val="24"/>
        </w:rPr>
        <w:t>Energy</w:t>
      </w:r>
      <w:proofErr w:type="spellEnd"/>
      <w:r w:rsidR="004B5B51" w:rsidRPr="004B5B51">
        <w:rPr>
          <w:rFonts w:ascii="Times New Roman" w:hAnsi="Times New Roman" w:cs="Times New Roman"/>
          <w:sz w:val="24"/>
          <w:szCs w:val="24"/>
        </w:rPr>
        <w:t xml:space="preserve"> Outlook 2023” aborda de manera </w:t>
      </w:r>
      <w:r w:rsidR="004B5B51">
        <w:rPr>
          <w:rFonts w:ascii="Times New Roman" w:hAnsi="Times New Roman" w:cs="Times New Roman"/>
          <w:sz w:val="24"/>
          <w:szCs w:val="24"/>
        </w:rPr>
        <w:t>completa, a nivel global y regional,</w:t>
      </w:r>
      <w:r w:rsidR="004B5B51" w:rsidRPr="004B5B51">
        <w:rPr>
          <w:rFonts w:ascii="Times New Roman" w:hAnsi="Times New Roman" w:cs="Times New Roman"/>
          <w:sz w:val="24"/>
          <w:szCs w:val="24"/>
        </w:rPr>
        <w:t xml:space="preserve"> los</w:t>
      </w:r>
      <w:r w:rsidR="004B5B51">
        <w:rPr>
          <w:rFonts w:ascii="Times New Roman" w:hAnsi="Times New Roman" w:cs="Times New Roman"/>
          <w:sz w:val="24"/>
          <w:szCs w:val="24"/>
        </w:rPr>
        <w:t xml:space="preserve"> sistemas energéticos del mundo, junto con sus desafíos y oportunidades.</w:t>
      </w:r>
    </w:p>
    <w:p w:rsidR="004B5B51" w:rsidRPr="004B5B51" w:rsidRDefault="004B5B51" w:rsidP="00685AAA">
      <w:pPr>
        <w:spacing w:line="276" w:lineRule="auto"/>
        <w:ind w:firstLine="360"/>
        <w:rPr>
          <w:rFonts w:ascii="Times New Roman" w:hAnsi="Times New Roman" w:cs="Times New Roman"/>
          <w:sz w:val="24"/>
          <w:szCs w:val="24"/>
        </w:rPr>
      </w:pPr>
    </w:p>
    <w:p w:rsidR="004B5B51" w:rsidRPr="004B5B51" w:rsidRDefault="004B5B51" w:rsidP="00685AAA">
      <w:pPr>
        <w:spacing w:line="276" w:lineRule="auto"/>
        <w:ind w:firstLine="360"/>
        <w:rPr>
          <w:rFonts w:ascii="Times New Roman" w:hAnsi="Times New Roman" w:cs="Times New Roman"/>
          <w:sz w:val="24"/>
          <w:szCs w:val="24"/>
        </w:rPr>
        <w:sectPr w:rsidR="004B5B51" w:rsidRPr="004B5B51">
          <w:pgSz w:w="12240" w:h="15840"/>
          <w:pgMar w:top="1417" w:right="1701" w:bottom="1417" w:left="1701" w:header="708" w:footer="708" w:gutter="0"/>
          <w:cols w:space="708"/>
          <w:docGrid w:linePitch="360"/>
        </w:sectPr>
      </w:pPr>
    </w:p>
    <w:p w:rsidR="00B20162" w:rsidRPr="004B5B51" w:rsidRDefault="00B20162" w:rsidP="00685AAA">
      <w:pPr>
        <w:spacing w:line="276" w:lineRule="auto"/>
        <w:jc w:val="both"/>
        <w:rPr>
          <w:rFonts w:ascii="Times New Roman" w:hAnsi="Times New Roman" w:cs="Times New Roman"/>
          <w:sz w:val="24"/>
          <w:szCs w:val="24"/>
        </w:rPr>
      </w:pPr>
    </w:p>
    <w:sectPr w:rsidR="00B20162" w:rsidRPr="004B5B51" w:rsidSect="003C2F1D">
      <w:type w:val="oddPag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46C30"/>
    <w:multiLevelType w:val="hybridMultilevel"/>
    <w:tmpl w:val="E132D6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8A775EC"/>
    <w:multiLevelType w:val="hybridMultilevel"/>
    <w:tmpl w:val="E132D6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B5"/>
    <w:rsid w:val="001270B5"/>
    <w:rsid w:val="001E6F02"/>
    <w:rsid w:val="002037B9"/>
    <w:rsid w:val="0021101F"/>
    <w:rsid w:val="0023766D"/>
    <w:rsid w:val="002E2DE7"/>
    <w:rsid w:val="00312E19"/>
    <w:rsid w:val="00320CBF"/>
    <w:rsid w:val="00365FF5"/>
    <w:rsid w:val="003C2F1D"/>
    <w:rsid w:val="00425CCE"/>
    <w:rsid w:val="00481280"/>
    <w:rsid w:val="004B5B51"/>
    <w:rsid w:val="005219FC"/>
    <w:rsid w:val="005A7476"/>
    <w:rsid w:val="005E031F"/>
    <w:rsid w:val="00685AAA"/>
    <w:rsid w:val="008C6F81"/>
    <w:rsid w:val="00B20162"/>
    <w:rsid w:val="00BB20C3"/>
    <w:rsid w:val="00BD7490"/>
    <w:rsid w:val="00C42C96"/>
    <w:rsid w:val="00C73C72"/>
    <w:rsid w:val="00CB72F7"/>
    <w:rsid w:val="00CD347B"/>
    <w:rsid w:val="00EA30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26ECD-A02A-4302-90BE-60D2EEDC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FF5"/>
    <w:pPr>
      <w:ind w:left="720"/>
      <w:contextualSpacing/>
    </w:pPr>
  </w:style>
  <w:style w:type="character" w:styleId="Hipervnculo">
    <w:name w:val="Hyperlink"/>
    <w:basedOn w:val="Fuentedeprrafopredeter"/>
    <w:uiPriority w:val="99"/>
    <w:unhideWhenUsed/>
    <w:rsid w:val="00B20162"/>
    <w:rPr>
      <w:color w:val="0563C1" w:themeColor="hyperlink"/>
      <w:u w:val="single"/>
    </w:rPr>
  </w:style>
  <w:style w:type="character" w:styleId="Hipervnculovisitado">
    <w:name w:val="FollowedHyperlink"/>
    <w:basedOn w:val="Fuentedeprrafopredeter"/>
    <w:uiPriority w:val="99"/>
    <w:semiHidden/>
    <w:unhideWhenUsed/>
    <w:rsid w:val="00B20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e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1129</Words>
  <Characters>6213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12</cp:revision>
  <dcterms:created xsi:type="dcterms:W3CDTF">2023-11-15T19:59:00Z</dcterms:created>
  <dcterms:modified xsi:type="dcterms:W3CDTF">2023-11-16T20:04:00Z</dcterms:modified>
</cp:coreProperties>
</file>