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5496497">
      <w:pPr>
        <w:pStyle w:val="000002"/>
        <w:keepNext w:val="1"/>
        <w:keepLines w:val="1"/>
        <w:spacing w:before="100" w:beforeAutospacing="1" w:after="100" w:afterAutospacing="1" w:line="360"/>
        <w:jc w:val="center"/>
        <w:outlineLvl w:val="0"/>
        <w:rPr>
          <w:color w:val="1a1a1a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1a1a"/>
          <w:sz w:val="33"/>
        </w:rPr>
        <w:t>大学生缴费管理系统阶段性报告</w:t>
      </w:r>
    </w:p>
    <w:p w14:paraId="7DCADB54">
      <w:pPr>
        <w:pBdr>
          <w:bottom w:val="single" w:color="999999" w:sz="6" w:space="7"/>
        </w:pBdr>
        <w:spacing w:line="36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18"/>
        </w:rPr>
        <w:t>项目阶段：主要业务功能开发完成 | 报告日期：2026 年 10 月 20 日</w:t>
      </w:r>
    </w:p>
    <w:p w14:paraId="51492BA1">
      <w:pPr>
        <w:pStyle w:val="000003"/>
        <w:keepNext w:val="1"/>
        <w:keepLines w:val="1"/>
        <w:spacing w:before="180" w:beforeAutospacing="1" w:after="180" w:afterAutospacing="1" w:line="360"/>
        <w:ind w:left="180" w:right="18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3"/>
        </w:rPr>
        <w:t>一、系统概述</w:t>
      </w:r>
    </w:p>
    <w:p w14:paraId="6F125FCE">
      <w:pPr>
        <w:spacing w:line="36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1"/>
        </w:rPr>
        <w:t>本系统面向高校学生缴费业务，为学生、财务与管理人员提供统一的线上缴费入口，覆盖项目发布、缴费、对账与退款全过程，主要功能已开发完成，可投入试用。</w:t>
      </w:r>
    </w:p>
    <w:p w14:paraId="60A49EAB">
      <w:pPr>
        <w:pStyle w:val="000003"/>
        <w:keepNext w:val="1"/>
        <w:keepLines w:val="1"/>
        <w:spacing w:before="180" w:beforeAutospacing="1" w:after="180" w:afterAutospacing="1" w:line="360"/>
        <w:ind w:left="180" w:right="18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3"/>
        </w:rPr>
        <w:t>二、已完成功能</w:t>
      </w:r>
    </w:p>
    <w:p w14:paraId="34DDE6E7">
      <w:pPr>
        <w:pStyle w:val="000004"/>
        <w:keepNext w:val="1"/>
        <w:keepLines w:val="1"/>
        <w:spacing w:before="120" w:beforeAutospacing="1" w:after="120" w:afterAutospacing="1" w:line="360"/>
        <w:ind w:left="120" w:right="120"/>
        <w:outlineLvl w:val="2"/>
        <w:rPr>
          <w:color w:val="333333"/>
          <w:sz w:val="32"/>
          <w:szCs w:val="32"/>
        </w:rPr>
      </w:pPr>
      <w:r>
        <w:rPr>
          <w:rFonts w:hint="eastAsia" w:ascii="SimHei" w:hAnsi="SimHei" w:eastAsia="SimHei" w:cs="SimHei"/>
          <w:b w:val="0"/>
          <w:color w:val="333333"/>
          <w:sz w:val="21"/>
        </w:rPr>
        <w:t>（一）学生端</w:t>
      </w:r>
    </w:p>
    <w:p w14:paraId="49001043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1. 登录与个人首页。</w:t>
      </w:r>
      <w:r>
        <w:rPr>
          <w:rFonts w:hint="eastAsia" w:ascii="SimSun" w:hAnsi="SimSun" w:eastAsia="SimSun" w:cs="SimSun"/>
          <w:color w:val="1a1a1a"/>
          <w:sz w:val="21"/>
        </w:rPr>
        <w:t>学生使用学号与密码登录，首页汇总本人待缴项目数、已缴清项目数、待支付与已支付订单数及未读通知数。</w:t>
      </w:r>
    </w:p>
    <w:p w14:paraId="49B25CD6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2. 缴费项目查看。</w:t>
      </w:r>
      <w:r>
        <w:rPr>
          <w:rFonts w:hint="eastAsia" w:ascii="SimSun" w:hAnsi="SimSun" w:eastAsia="SimSun" w:cs="SimSun"/>
          <w:color w:val="1a1a1a"/>
          <w:sz w:val="21"/>
        </w:rPr>
        <w:t>学生仅能看到与本人学院、年级、专业相关的项目，列表显示应缴、已缴与剩余金额，支持未缴、已缴筛选，已缴清项目以醒目状态标识。</w:t>
      </w:r>
    </w:p>
    <w:p w14:paraId="4F002536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3. 在线缴费。</w:t>
      </w:r>
      <w:r>
        <w:rPr>
          <w:rFonts w:hint="eastAsia" w:ascii="SimSun" w:hAnsi="SimSun" w:eastAsia="SimSun" w:cs="SimSun"/>
          <w:color w:val="1a1a1a"/>
          <w:sz w:val="21"/>
        </w:rPr>
        <w:t>选定项目后进入收银台，确认金额与支付方式即可生成订单完成支付；部分缴费的项目按剩余金额计算，可继续补缴，不会重复收取。</w:t>
      </w:r>
    </w:p>
    <w:p w14:paraId="0F4B0757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4. 订单与凭证。</w:t>
      </w:r>
      <w:r>
        <w:rPr>
          <w:rFonts w:hint="eastAsia" w:ascii="SimSun" w:hAnsi="SimSun" w:eastAsia="SimSun" w:cs="SimSun"/>
          <w:color w:val="1a1a1a"/>
          <w:sz w:val="21"/>
        </w:rPr>
        <w:t>可查询本人订单及状态、查看明细，并下载缴费凭证留存。</w:t>
      </w:r>
    </w:p>
    <w:p w14:paraId="63DB3E28">
      <w:pPr>
        <w:pStyle w:val="000004"/>
        <w:keepNext w:val="1"/>
        <w:keepLines w:val="1"/>
        <w:spacing w:before="120" w:beforeAutospacing="1" w:after="120" w:afterAutospacing="1" w:line="360"/>
        <w:ind w:left="120" w:right="120"/>
        <w:outlineLvl w:val="2"/>
        <w:rPr>
          <w:color w:val="333333"/>
          <w:sz w:val="32"/>
          <w:szCs w:val="32"/>
        </w:rPr>
      </w:pPr>
      <w:r>
        <w:rPr>
          <w:rFonts w:hint="eastAsia" w:ascii="SimHei" w:hAnsi="SimHei" w:eastAsia="SimHei" w:cs="SimHei"/>
          <w:b w:val="0"/>
          <w:color w:val="333333"/>
          <w:sz w:val="21"/>
        </w:rPr>
        <w:t>（二）财务端</w:t>
      </w:r>
    </w:p>
    <w:p w14:paraId="43C9C8DA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5. 缴费项目管理。</w:t>
      </w:r>
      <w:r>
        <w:rPr>
          <w:rFonts w:hint="eastAsia" w:ascii="SimSun" w:hAnsi="SimSun" w:eastAsia="SimSun" w:cs="SimSun"/>
          <w:color w:val="1a1a1a"/>
          <w:sz w:val="21"/>
        </w:rPr>
        <w:t>可新建项目并设置名称、金额、缴费时间与应用范围，并执行发布与关闭，关闭后不再接受缴费。</w:t>
      </w:r>
    </w:p>
    <w:p w14:paraId="4E3DADF2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6. 订单管理。</w:t>
      </w:r>
      <w:r>
        <w:rPr>
          <w:rFonts w:hint="eastAsia" w:ascii="SimSun" w:hAnsi="SimSun" w:eastAsia="SimSun" w:cs="SimSun"/>
          <w:color w:val="1a1a1a"/>
          <w:sz w:val="21"/>
        </w:rPr>
        <w:t>可按学生、项目、状态与时间查询订单；未支付订单可关闭，已支付订单可发起退款。</w:t>
      </w:r>
    </w:p>
    <w:p w14:paraId="783D4CDD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7. 退款处理。</w:t>
      </w:r>
      <w:r>
        <w:rPr>
          <w:rFonts w:hint="eastAsia" w:ascii="SimSun" w:hAnsi="SimSun" w:eastAsia="SimSun" w:cs="SimSun"/>
          <w:color w:val="1a1a1a"/>
          <w:sz w:val="21"/>
        </w:rPr>
        <w:t>支持全额与部分退款，退款后自动更新该学生的已缴金额与欠费余额，学生可继续补缴。</w:t>
      </w:r>
    </w:p>
    <w:p w14:paraId="2DDF1A68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8. 对账管理。</w:t>
      </w:r>
      <w:r>
        <w:rPr>
          <w:rFonts w:hint="eastAsia" w:ascii="SimSun" w:hAnsi="SimSun" w:eastAsia="SimSun" w:cs="SimSun"/>
          <w:color w:val="1a1a1a"/>
          <w:sz w:val="21"/>
        </w:rPr>
        <w:t>可上传渠道对账文件，与本地记录逐笔比对，输出一致、仅本地、仅渠道、金额差异四类结果，差异可逐条处理留档。</w:t>
      </w:r>
    </w:p>
    <w:p w14:paraId="64DBDEFD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9. 通知公告。</w:t>
      </w:r>
      <w:r>
        <w:rPr>
          <w:rFonts w:hint="eastAsia" w:ascii="SimSun" w:hAnsi="SimSun" w:eastAsia="SimSun" w:cs="SimSun"/>
          <w:color w:val="1a1a1a"/>
          <w:sz w:val="21"/>
        </w:rPr>
        <w:t>可发布缴费通知并按范围推送，学生端显示未读数量并支持标记已读。</w:t>
      </w:r>
    </w:p>
    <w:p w14:paraId="7E6F3910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10. 统计报表。</w:t>
      </w:r>
      <w:r>
        <w:rPr>
          <w:rFonts w:hint="eastAsia" w:ascii="SimSun" w:hAnsi="SimSun" w:eastAsia="SimSun" w:cs="SimSun"/>
          <w:color w:val="1a1a1a"/>
          <w:sz w:val="21"/>
        </w:rPr>
        <w:t>提供缴费总览、按项目、按学院与趋势四类视图，支持报表导出。</w:t>
      </w:r>
    </w:p>
    <w:p w14:paraId="52E749A7">
      <w:pPr>
        <w:pStyle w:val="000004"/>
        <w:keepNext w:val="1"/>
        <w:keepLines w:val="1"/>
        <w:spacing w:before="120" w:beforeAutospacing="1" w:after="120" w:afterAutospacing="1" w:line="360"/>
        <w:ind w:left="120" w:right="120"/>
        <w:outlineLvl w:val="2"/>
        <w:rPr>
          <w:color w:val="333333"/>
          <w:sz w:val="32"/>
          <w:szCs w:val="32"/>
        </w:rPr>
      </w:pPr>
      <w:r>
        <w:rPr>
          <w:rFonts w:hint="eastAsia" w:ascii="SimHei" w:hAnsi="SimHei" w:eastAsia="SimHei" w:cs="SimHei"/>
          <w:b w:val="0"/>
          <w:color w:val="333333"/>
          <w:sz w:val="21"/>
        </w:rPr>
        <w:t>（三）管理端</w:t>
      </w:r>
    </w:p>
    <w:p w14:paraId="3BECDB2F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11. 用户与权限。</w:t>
      </w:r>
      <w:r>
        <w:rPr>
          <w:rFonts w:hint="eastAsia" w:ascii="SimSun" w:hAnsi="SimSun" w:eastAsia="SimSun" w:cs="SimSun"/>
          <w:color w:val="1a1a1a"/>
          <w:sz w:val="21"/>
        </w:rPr>
        <w:t>可新增维护账号、启用停用、重置密码，支持批量导入学生名单；各角色权限相互隔离。</w:t>
      </w:r>
    </w:p>
    <w:p w14:paraId="4C969E6B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12. 操作日志。</w:t>
      </w:r>
      <w:r>
        <w:rPr>
          <w:rFonts w:hint="eastAsia" w:ascii="SimSun" w:hAnsi="SimSun" w:eastAsia="SimSun" w:cs="SimSun"/>
          <w:color w:val="1a1a1a"/>
          <w:sz w:val="21"/>
        </w:rPr>
        <w:t>自动记录关键操作的操作人、时间与内容，可按条件检索，用于问题追溯。</w:t>
      </w:r>
    </w:p>
    <w:p w14:paraId="39E53FC5">
      <w:pPr>
        <w:pStyle w:val="000003"/>
        <w:keepNext w:val="1"/>
        <w:keepLines w:val="1"/>
        <w:spacing w:before="180" w:beforeAutospacing="1" w:after="180" w:afterAutospacing="1" w:line="360"/>
        <w:ind w:left="180" w:right="18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3"/>
        </w:rPr>
        <w:t>三、需要完善的功能模块</w:t>
      </w:r>
    </w:p>
    <w:p w14:paraId="563F7C70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1. 数据字典。</w:t>
      </w:r>
      <w:r>
        <w:rPr>
          <w:rFonts w:hint="eastAsia" w:ascii="SimSun" w:hAnsi="SimSun" w:eastAsia="SimSun" w:cs="SimSun"/>
          <w:color w:val="1a1a1a"/>
          <w:sz w:val="21"/>
        </w:rPr>
        <w:t>用于统一维护缴费类型、学院、专业等基础数据。目前仅有页面入口，尚未实现，相关数据仍需手工填写。</w:t>
      </w:r>
    </w:p>
    <w:p w14:paraId="6B00C6AC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2. 真实支付渠道。</w:t>
      </w:r>
      <w:r>
        <w:rPr>
          <w:rFonts w:hint="eastAsia" w:ascii="SimSun" w:hAnsi="SimSun" w:eastAsia="SimSun" w:cs="SimSun"/>
          <w:color w:val="1a1a1a"/>
          <w:sz w:val="21"/>
        </w:rPr>
        <w:t>支付环节目前使用模拟渠道，尚未接入微信支付等真实渠道，资金未实际到账，是上线前必须解决的前置事项。</w:t>
      </w:r>
    </w:p>
    <w:p w14:paraId="33804DD7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3. 账号找回。</w:t>
      </w:r>
      <w:r>
        <w:rPr>
          <w:rFonts w:hint="eastAsia" w:ascii="SimSun" w:hAnsi="SimSun" w:eastAsia="SimSun" w:cs="SimSun"/>
          <w:color w:val="1a1a1a"/>
          <w:sz w:val="21"/>
        </w:rPr>
        <w:t>目前仅支持登录后修改密码，尚未提供忘记密码与验证码找回，密码遗失需由管理员重置。</w:t>
      </w:r>
    </w:p>
    <w:p w14:paraId="68156A93">
      <w:pPr>
        <w:spacing w:line="360"/>
        <w:jc w:val="both"/>
        <w:rPr>
          <w:color w:val="1a1a1a"/>
        </w:rPr>
      </w:pPr>
      <w:r>
        <w:rPr>
          <w:rFonts w:hint="eastAsia" w:ascii="SimHei" w:hAnsi="SimHei" w:eastAsia="SimHei" w:cs="SimHei"/>
          <w:b w:val="0"/>
          <w:color w:val="1a1a1a"/>
          <w:sz w:val="21"/>
        </w:rPr>
        <w:t>4. 消息主动触达。</w:t>
      </w:r>
      <w:r>
        <w:rPr>
          <w:rFonts w:hint="eastAsia" w:ascii="SimSun" w:hAnsi="SimSun" w:eastAsia="SimSun" w:cs="SimSun"/>
          <w:color w:val="1a1a1a"/>
          <w:sz w:val="21"/>
        </w:rPr>
        <w:t>缴费通知仅在系统内以公告展示，未通过短信、微信或邮件推送。</w:t>
      </w:r>
    </w:p>
    <w:p w14:paraId="5E599280">
      <w:pPr>
        <w:pStyle w:val="000003"/>
        <w:keepNext w:val="1"/>
        <w:keepLines w:val="1"/>
        <w:spacing w:before="180" w:beforeAutospacing="1" w:after="180" w:afterAutospacing="1" w:line="360"/>
        <w:ind w:left="180" w:right="180"/>
        <w:outlineLvl w:val="1"/>
        <w:rPr>
          <w:color w:val="1a1a1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1a1a"/>
          <w:sz w:val="23"/>
        </w:rPr>
        <w:t>四、下一步计划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1578"/>
        <w:gridCol w:w="5483"/>
      </w:tblGrid>
      <w:tr>
        <w:trPr>
          <w:tblHeader w:val="1"/>
        </w:trPr>
        <w:tc>
          <w:tcPr>
            <w:tcW w:w="124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608E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0"/>
                <w:color w:val="1a1a1a"/>
                <w:sz w:val="18"/>
              </w:rPr>
              <w:t>阶段</w:t>
            </w:r>
          </w:p>
        </w:tc>
        <w:tc>
          <w:tcPr>
            <w:tcW w:w="157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0D18C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0"/>
                <w:color w:val="1a1a1a"/>
                <w:sz w:val="18"/>
              </w:rPr>
              <w:t>时间</w:t>
            </w:r>
          </w:p>
        </w:tc>
        <w:tc>
          <w:tcPr>
            <w:tcW w:w="548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val="clear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77595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0"/>
                <w:color w:val="1a1a1a"/>
                <w:sz w:val="18"/>
              </w:rPr>
              <w:t>主要工作</w:t>
            </w:r>
          </w:p>
        </w:tc>
      </w:tr>
      <w:tr>
        <w:trPr/>
        <w:tc>
          <w:tcPr>
            <w:tcW w:w="124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BF9C2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8"/>
              </w:rPr>
              <w:t>第一阶段</w:t>
            </w:r>
          </w:p>
        </w:tc>
        <w:tc>
          <w:tcPr>
            <w:tcW w:w="157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8070B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8"/>
              </w:rPr>
              <w:t>10/21 – 11/03</w:t>
            </w:r>
          </w:p>
        </w:tc>
        <w:tc>
          <w:tcPr>
            <w:tcW w:w="548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B29C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8"/>
              </w:rPr>
              <w:t>完成数据字典模块；补充账号找回功能；对现有功能做一轮完整走查。</w:t>
            </w:r>
          </w:p>
        </w:tc>
      </w:tr>
      <w:tr>
        <w:trPr/>
        <w:tc>
          <w:tcPr>
            <w:tcW w:w="124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32A50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8"/>
              </w:rPr>
              <w:t>第二阶段</w:t>
            </w:r>
          </w:p>
        </w:tc>
        <w:tc>
          <w:tcPr>
            <w:tcW w:w="157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568A8A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8"/>
              </w:rPr>
              <w:t>11/04 – 11/24</w:t>
            </w:r>
          </w:p>
        </w:tc>
        <w:tc>
          <w:tcPr>
            <w:tcW w:w="548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244AF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8"/>
              </w:rPr>
              <w:t>接入真实支付渠道并完成联调（需提前申请商户资质）；退款与对账按渠道规则调整。</w:t>
            </w:r>
          </w:p>
        </w:tc>
      </w:tr>
      <w:tr>
        <w:trPr/>
        <w:tc>
          <w:tcPr>
            <w:tcW w:w="1245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DCCA6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8"/>
              </w:rPr>
              <w:t>第三阶段</w:t>
            </w:r>
          </w:p>
        </w:tc>
        <w:tc>
          <w:tcPr>
            <w:tcW w:w="1578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93651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8"/>
              </w:rPr>
              <w:t>11/25 – 12/15</w:t>
            </w:r>
          </w:p>
        </w:tc>
        <w:tc>
          <w:tcPr>
            <w:tcW w:w="5483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5C566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8"/>
              </w:rPr>
              <w:t>增加短信或微信通知推送；优化移动端体验；完成正式部署与交付文档。</w:t>
            </w:r>
          </w:p>
        </w:tc>
      </w:tr>
    </w:tbl>
    <w:p w14:paraId="475B72DB">
      <w:pPr>
        <w:spacing w:line="360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1"/>
        </w:rPr>
        <w:t>三个阶段按补基础、通资金、做体验的顺序推进，后一阶段以前一阶段稳定为前提。</w:t>
      </w:r>
    </w:p>
    <w:p w14:paraId="612C52E3"/>
    <w:sectPr xmlns:r="http://schemas.openxmlformats.org/officeDocument/2006/relationships">
      <w:footerReference w:type="default" r:id="rIdFtr1"/>
      <w:pgSz w:w="11906" w:h="16838"/>
      <w:pgMar w:top="1134" w:right="1361" w:bottom="1134" w:left="1361" w:header="794" w:footer="850" w:gutter="0"/>
      <w:docGrid w:linePitch="312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  <w:rPr>
        <w:rFonts w:ascii="SimSun" w:hAnsi="SimSun" w:eastAsia="SimSun" w:hint="eastAsia"/>
        <w:color w:val="595959"/>
        <w:sz w:val="18"/>
      </w:rPr>
    </w:pPr>
    <w:r>
      <w:rPr>
        <w:rFonts w:ascii="SimSun" w:hAnsi="SimSun" w:eastAsia="SimSun" w:hint="eastAsia"/>
        <w:color w:val="595959"/>
        <w:sz w:val="18"/>
      </w:rPr>
      <w:t xml:space="preserve">— </w:t>
    </w:r>
    <w:r>
      <w:rPr>
        <w:rFonts w:ascii="SimSun" w:hAnsi="SimSun" w:eastAsia="SimSun" w:hint="eastAsia"/>
        <w:color w:val="595959"/>
        <w:sz w:val="18"/>
      </w:rPr>
      <w:fldChar w:fldCharType="begin"/>
    </w:r>
    <w:r>
      <w:rPr>
        <w:rFonts w:ascii="SimSun" w:hAnsi="SimSun" w:eastAsia="SimSun" w:hint="eastAsia"/>
        <w:color w:val="595959"/>
        <w:sz w:val="18"/>
      </w:rPr>
      <w:instrText xml:space="preserve"> PAGE </w:instrText>
    </w:r>
    <w:r>
      <w:rPr>
        <w:rFonts w:ascii="SimSun" w:hAnsi="SimSun" w:eastAsia="SimSun" w:hint="eastAsia"/>
        <w:color w:val="595959"/>
        <w:sz w:val="18"/>
      </w:rPr>
      <w:fldChar w:fldCharType="separate"/>
    </w:r>
    <w:r>
      <w:rPr>
        <w:rFonts w:ascii="SimSun" w:hAnsi="SimSun" w:eastAsia="SimSun" w:hint="eastAsia"/>
        <w:color w:val="595959"/>
        <w:sz w:val="18"/>
      </w:rPr>
      <w:t>1</w:t>
    </w:r>
    <w:r>
      <w:rPr>
        <w:rFonts w:ascii="SimSun" w:hAnsi="SimSun" w:eastAsia="SimSun" w:hint="eastAsia"/>
        <w:color w:val="595959"/>
        <w:sz w:val="18"/>
      </w:rPr>
      <w:fldChar w:fldCharType="end"/>
    </w:r>
    <w:r>
      <w:rPr>
        <w:rFonts w:ascii="SimSun" w:hAnsi="SimSun" w:eastAsia="SimSun" w:hint="eastAsia"/>
        <w:color w:val="595959"/>
        <w:sz w:val="18"/>
      </w:rPr>
      <w:t xml:space="preserve"> —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te Heading" w:semiHidden="1" w:unhideWhenUsed="1"/>
    <w:lsdException w:name="index 3" w:semiHidden="1" w:unhideWhenUsed="1"/>
    <w:lsdException w:name="index 6" w:semiHidden="1" w:unhideWhenUsed="1"/>
    <w:lsdException w:name="Body Text" w:semiHidden="1" w:unhideWhenUsed="1"/>
    <w:lsdException w:name="table of figures" w:semiHidden="1" w:unhideWhenUsed="1"/>
    <w:lsdException w:name="Body Text Indent" w:semiHidden="1" w:unhideWhenUsed="1"/>
    <w:lsdException w:name="heading 5" w:uiPriority="9" w:semiHidden="1" w:unhideWhenUsed="1" w:qFormat="1"/>
    <w:lsdException w:name="Body Text First Indent 2" w:semiHidden="1" w:unhideWhenUsed="1"/>
    <w:lsdException w:name="index 7" w:semiHidden="1" w:unhideWhenUsed="1"/>
    <w:lsdException w:name="FollowedHyperlink" w:semiHidden="1" w:unhideWhenUsed="1"/>
    <w:lsdException w:name="List" w:semiHidden="1" w:unhideWhenUsed="1"/>
    <w:lsdException w:name="heading 6" w:uiPriority="9" w:semiHidden="1" w:unhideWhenUsed="1" w:qFormat="1"/>
    <w:lsdException w:name="header" w:semiHidden="1" w:unhideWhenUsed="1"/>
    <w:lsdException w:name="heading 1" w:uiPriority="9" w:qFormat="1"/>
    <w:lsdException w:name="table of authorities" w:semiHidden="1" w:unhideWhenUsed="1"/>
    <w:lsdException w:name="index 4" w:semiHidden="1" w:unhideWhenUsed="1"/>
    <w:lsdException w:name="Normal" w:uiPriority="0" w:qFormat="1"/>
    <w:lsdException w:name="macro" w:semiHidden="1" w:unhideWhenUsed="1"/>
    <w:lsdException w:name="Message Header" w:semiHidden="1" w:unhideWhenUsed="1"/>
    <w:lsdException w:name="toa heading" w:semiHidden="1" w:unhideWhenUsed="1"/>
    <w:lsdException w:name="List Bullet" w:semiHidden="1" w:unhideWhenUsed="1"/>
    <w:lsdException w:name="List Bullet 2" w:semiHidden="1" w:unhideWhenUsed="1"/>
    <w:lsdException w:name="endnote text" w:semiHidden="1" w:unhideWhenUsed="1"/>
    <w:lsdException w:name="toc 6" w:uiPriority="39" w:semiHidden="1" w:unhideWhenUsed="1"/>
    <w:lsdException w:name="toc 1" w:uiPriority="39" w:semiHidden="1" w:unhideWhenUsed="1"/>
    <w:lsdException w:name="List Number 4" w:semiHidden="1" w:unhideWhenUsed="1"/>
    <w:lsdException w:name="Strong" w:uiPriority="22" w:qFormat="1"/>
    <w:lsdException w:name="Body Text First Indent" w:semiHidden="1" w:unhideWhenUsed="1"/>
    <w:lsdException w:name="List Bullet 3" w:semiHidden="1" w:unhideWhenUsed="1"/>
    <w:lsdException w:name="envelope address" w:semiHidden="1" w:unhideWhenUsed="1"/>
    <w:lsdException w:name="List Continue 3" w:semiHidden="1" w:unhideWhenUsed="1"/>
    <w:lsdException w:name="envelope return" w:semiHidden="1" w:unhideWhenUsed="1"/>
    <w:lsdException w:name="toc 7" w:uiPriority="39" w:semiHidden="1" w:unhideWhenUsed="1"/>
    <w:lsdException w:name="toc 2" w:uiPriority="39" w:semiHidden="1" w:unhideWhenUsed="1"/>
    <w:lsdException w:name="Closing" w:semiHidden="1" w:unhideWhenUsed="1"/>
    <w:lsdException w:name="index 1" w:semiHidden="1" w:unhideWhenUsed="1"/>
    <w:lsdException w:name="Body Text Indent 3" w:semiHidden="1" w:unhideWhenUsed="1"/>
    <w:lsdException w:name="List 4" w:semiHidden="1" w:unhideWhenUsed="1"/>
    <w:lsdException w:name="footer" w:semiHidden="1" w:unhideWhenUsed="1"/>
    <w:lsdException w:name="List Number 3" w:semiHidden="1" w:unhideWhenUsed="1"/>
    <w:lsdException w:name="Default Paragraph Font" w:uiPriority="1" w:semiHidden="1" w:unhideWhenUsed="1"/>
    <w:lsdException w:name="index 5" w:semiHidden="1" w:unhideWhenUsed="1"/>
    <w:lsdException w:name="index 8" w:semiHidden="1" w:unhideWhenUsed="1"/>
    <w:lsdException w:name="heading 2" w:uiPriority="9" w:semiHidden="1" w:unhideWhenUsed="1" w:qFormat="1"/>
    <w:lsdException w:name="heading 7" w:uiPriority="9" w:semiHidden="1" w:unhideWhenUsed="1" w:qFormat="1"/>
    <w:lsdException w:name="Title" w:uiPriority="10" w:qFormat="1"/>
    <w:lsdException w:name="List 5" w:semiHidden="1" w:unhideWhenUsed="1"/>
    <w:lsdException w:name="List 2" w:semiHidden="1" w:unhideWhenUsed="1"/>
    <w:lsdException w:name="index heading" w:semiHidden="1" w:unhideWhenUsed="1"/>
    <w:lsdException w:name="Hyperlink" w:semiHidden="1" w:unhideWhenUsed="1"/>
    <w:lsdException w:name="List Continue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index 2" w:semiHidden="1" w:unhideWhenUsed="1"/>
    <w:lsdException w:name="footnote reference" w:semiHidden="1" w:unhideWhenUsed="1"/>
    <w:lsdException w:name="index 9" w:semiHidden="1" w:unhideWhenUsed="1"/>
    <w:lsdException w:name="Salutation" w:semiHidden="1" w:unhideWhenUsed="1"/>
    <w:lsdException w:name="line number" w:semiHidden="1" w:unhideWhenUsed="1"/>
    <w:lsdException w:name="List Number" w:semiHidden="1" w:unhideWhenUsed="1"/>
    <w:lsdException w:name="annotation text" w:semiHidden="1" w:unhideWhenUsed="1"/>
    <w:lsdException w:name="footnote text" w:semiHidden="1" w:unhideWhenUsed="1"/>
    <w:lsdException w:name="toc 3" w:uiPriority="39" w:semiHidden="1" w:unhideWhenUsed="1"/>
    <w:lsdException w:name="toc 8" w:uiPriority="39" w:semiHidden="1" w:unhideWhenUsed="1"/>
    <w:lsdException w:name="List Continue 2" w:semiHidden="1" w:unhideWhenUsed="1"/>
    <w:lsdException w:name="page number" w:semiHidden="1" w:unhideWhenUsed="1"/>
    <w:lsdException w:name="Block Text" w:semiHidden="1" w:unhideWhenUsed="1"/>
    <w:lsdException w:name="toc 4" w:uiPriority="39" w:semiHidden="1" w:unhideWhenUsed="1"/>
    <w:lsdException w:name="toc 9" w:uiPriority="39" w:semiHidden="1" w:unhideWhenUsed="1"/>
    <w:lsdException w:name="Body Text 3" w:semiHidden="1" w:unhideWhenUsed="1"/>
    <w:lsdException w:name="List Bullet 4" w:semiHidden="1" w:unhideWhenUsed="1"/>
    <w:lsdException w:name="List Number 2" w:semiHidden="1" w:unhideWhenUsed="1"/>
    <w:lsdException w:name="annotation reference" w:semiHidden="1" w:unhideWhenUsed="1"/>
    <w:lsdException w:name="List Continue 5" w:semiHidden="1" w:unhideWhenUsed="1"/>
    <w:lsdException w:name="endnote reference" w:semiHidden="1" w:unhideWhenUsed="1"/>
    <w:lsdException w:name="List 3" w:semiHidden="1" w:unhideWhenUsed="1"/>
    <w:lsdException w:name="Signature" w:semiHidden="1" w:unhideWhenUsed="1"/>
    <w:lsdException w:name="caption" w:uiPriority="35" w:semiHidden="1" w:unhideWhenUsed="1" w:qFormat="1"/>
    <w:lsdException w:name="toc 5" w:uiPriority="39" w:semiHidden="1" w:unhideWhenUsed="1"/>
    <w:lsdException w:name="Body Text Indent 2" w:semiHidden="1" w:unhideWhenUsed="1"/>
    <w:lsdException w:name="List Bullet 5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Date" w:semiHidden="1" w:unhideWhenUsed="1"/>
    <w:lsdException w:name="Body Text 2" w:semiHidden="1" w:unhideWhenUsed="1"/>
    <w:lsdException w:name="Subtitle" w:uiPriority="11" w:qFormat="1"/>
    <w:lsdException w:name="List Number 5" w:semiHidden="1" w:unhideWhenUsed="1"/>
    <w:lsdException w:name="Normal Indent" w:semiHidden="1" w:unhideWhenUsed="1"/>
    <w:lsdException w:name="List Continue 4" w:semiHidden="1" w:unhideWhenUsed="1"/>
  </w:latentStyles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Ftr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2026-10-20T09:50:31Z</dcterms:created>
  <dcterms:modified xsi:type="dcterms:W3CDTF">2026-10-20T09:50:31Z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"01a156fcdc41790d978156cc73dff719", "ReservedCode1": "", "ContentPropagator": "00119111010856365494821B355", "PropagateID": "01a156fcdc41790d978156cc73dff719", "ReservedCode2": ""}}</vt:lpwstr>
  </property>
</Properties>
</file>