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5496497">
      <w:pPr>
        <w:pStyle w:val="000003"/>
        <w:keepNext w:val="1"/>
        <w:keepLines w:val="1"/>
        <w:spacing w:before="100" w:beforeAutospacing="1" w:after="100" w:afterAutospacing="1" w:line="288"/>
        <w:jc w:val="center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42"/>
        </w:rPr>
        <w:t>大学生缴费管理系统阶段性报告</w:t>
      </w:r>
    </w:p>
    <w:p w14:paraId="58B24B7B">
      <w:pPr>
        <w:pBdr>
          <w:bottom w:val="single" w:color="1565c0" w:sz="12" w:space="9"/>
        </w:pBdr>
        <w:spacing w:line="288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1"/>
        </w:rPr>
        <w:t>项目阶段：核心功能收尾与业务规则细化　｜　报告日期：2026 年 10 月 25 日</w:t>
      </w:r>
    </w:p>
    <w:p w14:paraId="0DF9E39E">
      <w:pPr>
        <w:pBdr>
          <w:left w:val="single" w:color="1565c0" w:sz="32"/>
        </w:pBdr>
        <w:shd w:val="clear" w:fill="f5f7fa"/>
        <w:spacing w:before="100" w:after="100" w:line="288"/>
        <w:ind w:left="100" w:right="100"/>
        <w:jc w:val="both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21"/>
        </w:rPr>
        <w:t>本阶段要点</w:t>
      </w:r>
    </w:p>
    <w:p w14:paraId="4F12EED7">
      <w:pPr>
        <w:pBdr>
          <w:left w:val="single" w:color="1565c0" w:sz="32"/>
        </w:pBdr>
        <w:shd w:val="clear" w:fill="f5f7fa"/>
        <w:spacing w:before="100" w:after="100" w:line="288"/>
        <w:ind w:left="100" w:right="10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一、修复三项「看似可用、实际不成立」的问题：分次缴纳、适用范围匹配、项目下架提示，缴费业务闭环得以打通。</w:t>
      </w:r>
    </w:p>
    <w:p w14:paraId="4BC97895">
      <w:pPr>
        <w:pBdr>
          <w:left w:val="single" w:color="1565c0" w:sz="32"/>
        </w:pBdr>
        <w:shd w:val="clear" w:fill="f5f7fa"/>
        <w:spacing w:before="100" w:after="100" w:line="288"/>
        <w:ind w:left="100" w:right="10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二、按「管系统 / 管资金」重新划分角色权限，管理员不再接触任何财务数据。</w:t>
      </w:r>
    </w:p>
    <w:p w14:paraId="12F678A6">
      <w:pPr>
        <w:pBdr>
          <w:left w:val="single" w:color="1565c0" w:sz="32"/>
        </w:pBdr>
        <w:shd w:val="clear" w:fill="f5f7fa"/>
        <w:spacing w:before="100" w:after="100" w:line="288"/>
        <w:ind w:left="100" w:right="10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三、遗留 6 项待完善事项，下一步优先完成数据字典与安全加固。</w:t>
      </w:r>
    </w:p>
    <w:p w14:paraId="40C96BED">
      <w:pPr>
        <w:pStyle w:val="000004"/>
        <w:keepNext w:val="1"/>
        <w:keepLines w:val="1"/>
        <w:pBdr>
          <w:left w:val="single" w:color="1565c0" w:sz="32" w:space="12"/>
        </w:pBdr>
        <w:spacing w:before="240" w:beforeAutospacing="1" w:after="240" w:afterAutospacing="1" w:line="288"/>
        <w:ind w:left="240" w:right="240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8"/>
        </w:rPr>
        <w:t>一、本阶段工作概述</w:t>
      </w:r>
    </w:p>
    <w:p w14:paraId="1792F12B">
      <w:pPr>
        <w:spacing w:line="28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上一阶段（10 月 20 日）系统主要功能已开发完成。本阶段的工作重心不再是新增模块，而是把已有功能中「看似可用、实际不成立」的部分补成真正的业务闭环，共完成四类改进：缴费规则细化、业务闭环补强、角色权限重构、界面缺陷修复。</w:t>
      </w:r>
    </w:p>
    <w:p w14:paraId="7C9795AD">
      <w:pPr>
        <w:spacing w:line="28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其中三项属于实质性问题修复：分次缴纳此前只有项目上的一个标记、学生实际无法分批付款；缴费项目的适用范围此前依靠手工输入，与学籍档案字面不一致时学生端看不到项目；项目下架此前只改状态，已缴费学生的后续处理没有任何提示。这三项已在本阶段全部改正。</w:t>
      </w:r>
    </w:p>
    <w:p w14:paraId="0C802221">
      <w:pPr>
        <w:pStyle w:val="000004"/>
        <w:keepNext w:val="1"/>
        <w:keepLines w:val="1"/>
        <w:pBdr>
          <w:left w:val="single" w:color="1565c0" w:sz="32" w:space="12"/>
        </w:pBdr>
        <w:spacing w:before="240" w:beforeAutospacing="1" w:after="240" w:afterAutospacing="1" w:line="288"/>
        <w:ind w:left="240" w:right="240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8"/>
        </w:rPr>
        <w:t>二、缴费规则细化</w:t>
      </w:r>
    </w:p>
    <w:p w14:paraId="1DC93718">
      <w:pPr>
        <w:spacing w:line="288"/>
        <w:ind w:firstLine="480"/>
        <w:jc w:val="both"/>
        <w:rPr>
          <w:color w:val="212121"/>
        </w:rPr>
      </w:pPr>
      <w:r>
        <w:rPr>
          <w:rFonts w:hint="eastAsia" w:ascii="SimHei" w:hAnsi="SimHei" w:eastAsia="SimHei" w:cs="SimHei"/>
          <w:b w:val="1"/>
          <w:color w:val="1a237e"/>
          <w:sz w:val="24"/>
        </w:rPr>
        <w:t>分次缴纳从标记变成功能。</w:t>
      </w:r>
      <w:r>
        <w:rPr>
          <w:rFonts w:hint="eastAsia" w:ascii="SimSun" w:hAnsi="SimSun" w:eastAsia="SimSun" w:cs="SimSun"/>
          <w:color w:val="212121"/>
          <w:sz w:val="24"/>
        </w:rPr>
        <w:t>原实现中，「是否允许分次缴纳」只在保存项目时校验取值，下单环节完全没有使用，学生无论是否允许分次都只能一次付清。现在允许分次的项目，学生可自行填写本次缴纳金额（不超过剩余应缴），也可直接选择缴清剩余；不允许分次的项目若传入不等于剩余的金额，系统明确拒绝并提示该项目不支持分次。同一项目重复发起缴费时，若金额相同则复用尚未支付的订单，若金额不同则作废旧单重新开单，处于支付过程中的订单不允许被作废，避免学生付款与订单状态错位。</w:t>
      </w:r>
    </w:p>
    <w:p w14:paraId="75958F42">
      <w:pPr>
        <w:spacing w:line="288"/>
        <w:ind w:firstLine="480"/>
        <w:jc w:val="both"/>
        <w:rPr>
          <w:color w:val="212121"/>
        </w:rPr>
      </w:pPr>
      <w:r>
        <w:rPr>
          <w:rFonts w:hint="eastAsia" w:ascii="SimHei" w:hAnsi="SimHei" w:eastAsia="SimHei" w:cs="SimHei"/>
          <w:b w:val="1"/>
          <w:color w:val="1a237e"/>
          <w:sz w:val="24"/>
        </w:rPr>
        <w:t>缴费项目的适用范围改为条件限定。</w:t>
      </w:r>
      <w:r>
        <w:rPr>
          <w:rFonts w:hint="eastAsia" w:ascii="SimSun" w:hAnsi="SimSun" w:eastAsia="SimSun" w:cs="SimSun"/>
          <w:color w:val="212121"/>
          <w:sz w:val="24"/>
        </w:rPr>
        <w:t>此前适用范围的取值靠人工输入，一旦填成「软件工程学院」这类与学籍档案不一致的名称，系统匹配不到任何学生，项目发布出去等于无人可见。现在年级、学院、专业均从学籍档案的现存值中选择，指定名单改为按学号或姓名检索学生，不再需要手填。</w:t>
      </w:r>
    </w:p>
    <w:p w14:paraId="7E6721A7">
      <w:pPr>
        <w:spacing w:line="28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同时把「只能限定一个条件」放宽为多个条件同时成立：年级、学院、专业、指定学生四类条件可任意组合、随时增删，彼此为「并且」关系。例如「2024 级 + 计算机学院」只覆盖同时满足两项的学生，条件全部留空则等同全校。编辑界面实时显示预计覆盖人数，为 0 时标红提示并在保存前二次确认，避免发出无人可见的项目。选择学院后，专业列表自动收窄至该学院，已选专业若与新学院不符会被自动剔除。此前已发布的历史项目无需重新设置，打开时原有的年级或学院会自动落到对应条件中。</w:t>
      </w:r>
    </w:p>
    <w:p w14:paraId="0E6EA92B">
      <w:pPr>
        <w:pStyle w:val="000004"/>
        <w:keepNext w:val="1"/>
        <w:keepLines w:val="1"/>
        <w:pBdr>
          <w:left w:val="single" w:color="1565c0" w:sz="32" w:space="12"/>
        </w:pBdr>
        <w:spacing w:before="240" w:beforeAutospacing="1" w:after="240" w:afterAutospacing="1" w:line="288"/>
        <w:ind w:left="240" w:right="240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8"/>
        </w:rPr>
        <w:t>三、业务闭环补强</w:t>
      </w:r>
    </w:p>
    <w:p w14:paraId="0524F55F">
      <w:pPr>
        <w:spacing w:line="288"/>
        <w:ind w:firstLine="480"/>
        <w:jc w:val="both"/>
        <w:rPr>
          <w:color w:val="212121"/>
        </w:rPr>
      </w:pPr>
      <w:r>
        <w:rPr>
          <w:rFonts w:hint="eastAsia" w:ascii="SimHei" w:hAnsi="SimHei" w:eastAsia="SimHei" w:cs="SimHei"/>
          <w:b w:val="1"/>
          <w:color w:val="1a237e"/>
          <w:sz w:val="24"/>
        </w:rPr>
        <w:t>项目下架增加前置提示与校验。</w:t>
      </w:r>
      <w:r>
        <w:rPr>
          <w:rFonts w:hint="eastAsia" w:ascii="SimSun" w:hAnsi="SimSun" w:eastAsia="SimSun" w:cs="SimSun"/>
          <w:color w:val="212121"/>
          <w:sz w:val="24"/>
        </w:rPr>
        <w:t>下架前先展示该项目已缴费的人数、笔数与金额，以及尚未完成的订单数量，并明确说明下架不会自动退款。存在待支付或支付中订单时拒绝下架，需先处理这些订单。误下架的项目可重新上架，不再是一次性操作。</w:t>
      </w:r>
    </w:p>
    <w:p w14:paraId="00B94388">
      <w:pPr>
        <w:spacing w:line="288"/>
        <w:ind w:firstLine="480"/>
        <w:jc w:val="both"/>
        <w:rPr>
          <w:color w:val="212121"/>
        </w:rPr>
      </w:pPr>
      <w:r>
        <w:rPr>
          <w:rFonts w:hint="eastAsia" w:ascii="SimHei" w:hAnsi="SimHei" w:eastAsia="SimHei" w:cs="SimHei"/>
          <w:b w:val="1"/>
          <w:color w:val="1a237e"/>
          <w:sz w:val="24"/>
        </w:rPr>
        <w:t>支付渠道收敛。</w:t>
      </w:r>
      <w:r>
        <w:rPr>
          <w:rFonts w:hint="eastAsia" w:ascii="SimSun" w:hAnsi="SimSun" w:eastAsia="SimSun" w:cs="SimSun"/>
          <w:color w:val="212121"/>
          <w:sz w:val="24"/>
        </w:rPr>
        <w:t>收银台此前展示微信、支付宝、银联、现金四个渠道卡片，均为不可用的占位项。现已移除，只保留实际可用的模拟支付；渠道数量为一时不再渲染选择区，改为一行说明。系统的渠道扩展方式保留，将来补齐适配器即可重新出现。</w:t>
      </w:r>
    </w:p>
    <w:p w14:paraId="4D7C61AE">
      <w:pPr>
        <w:spacing w:line="288"/>
        <w:ind w:firstLine="480"/>
        <w:jc w:val="both"/>
        <w:rPr>
          <w:color w:val="212121"/>
        </w:rPr>
      </w:pPr>
      <w:r>
        <w:rPr>
          <w:rFonts w:hint="eastAsia" w:ascii="SimHei" w:hAnsi="SimHei" w:eastAsia="SimHei" w:cs="SimHei"/>
          <w:b w:val="1"/>
          <w:color w:val="1a237e"/>
          <w:sz w:val="24"/>
        </w:rPr>
        <w:t>权限边界重构。</w:t>
      </w:r>
      <w:r>
        <w:rPr>
          <w:rFonts w:hint="eastAsia" w:ascii="SimSun" w:hAnsi="SimSun" w:eastAsia="SimSun" w:cs="SimSun"/>
          <w:color w:val="212121"/>
          <w:sz w:val="24"/>
        </w:rPr>
        <w:t>管理员此前可以看到财务数据，职责与财务岗重叠。本阶段按「管系统」与「管资金」两条线重新划分：统计报表、缴费项目、订单、退款、对账、通知发布全部只对财务角色开放；管理员只保留操作日志、用户管理、系统设置与数据字典。订单关闭权限收归学生本人，财务与管理员均不能直接改动订单状态。管理员登录后直接进入操作日志，侧边栏仅保留四项。同时新增系统设置页，供管理员查看运行环境、数据库版本、账号规模与支付渠道状态。本次调整涉及的权限用例已全部验证通过。</w:t>
      </w:r>
    </w:p>
    <w:p w14:paraId="7E808D62">
      <w:pPr>
        <w:pStyle w:val="000004"/>
        <w:keepNext w:val="1"/>
        <w:keepLines w:val="1"/>
        <w:pBdr>
          <w:left w:val="single" w:color="1565c0" w:sz="32" w:space="12"/>
        </w:pBdr>
        <w:spacing w:before="240" w:beforeAutospacing="1" w:after="240" w:afterAutospacing="1" w:line="288"/>
        <w:ind w:left="240" w:right="240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8"/>
        </w:rPr>
        <w:t>四、界面与体验修复</w:t>
      </w:r>
    </w:p>
    <w:p w14:paraId="04FB20E6">
      <w:pPr>
        <w:spacing w:line="28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本阶段结合使用反馈修复了若干实际缺陷。一是显示错误：收银台倒计时此前按分钟直接拼接，剩余时间超过 99 分钟时会显示成 </w:t>
      </w:r>
      <w:r>
        <w:rPr>
          <w:rFonts w:ascii="Consolas" w:hAnsi="Consolas" w:eastAsia="Consolas" w:cs="Consolas"/>
          <w:color w:val="00897b"/>
          <w:sz w:val="21"/>
        </w:rPr>
        <w:t>7090:13</w:t>
      </w:r>
      <w:r>
        <w:rPr>
          <w:rFonts w:hint="eastAsia" w:ascii="SimSun" w:hAnsi="SimSun" w:eastAsia="SimSun" w:cs="SimSun"/>
          <w:color w:val="212121"/>
          <w:sz w:val="24"/>
        </w:rPr>
        <w:t xml:space="preserve"> 这类非法格式，现改为按天、时、分拆开展示；系统设置页的数据库连接串过长，超出表格边界，现只显示到库名并将完整值放入悬浮提示。二是布局问题：收银台两个操作按钮因全局样式影响未能对齐；财务看板的「按项目实收」原为纵向柱状图，八个项目名称挤在横轴重叠，现改为横向条形图；财务看板同时移除了信息密度较低的最近订单列表。三是操作便利性：订单管理新增按学号查询，学生端缴费卡片在支持分次缴纳时显示「去缴费 / 继续缴纳」并标注已缴与剩余金额。此外修复了一处影响可用性的缺陷，学生端「缴费项目」页面此前会因查询语句中的参数类型问题整页无法加载，现已修正。</w:t>
      </w:r>
    </w:p>
    <w:p w14:paraId="2ACBCF0A">
      <w:pPr>
        <w:pStyle w:val="000004"/>
        <w:keepNext w:val="1"/>
        <w:keepLines w:val="1"/>
        <w:pBdr>
          <w:left w:val="single" w:color="1565c0" w:sz="32" w:space="12"/>
        </w:pBdr>
        <w:spacing w:before="240" w:beforeAutospacing="1" w:after="240" w:afterAutospacing="1" w:line="288"/>
        <w:ind w:left="240" w:right="240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8"/>
        </w:rPr>
        <w:t>五、数据与运行环境</w:t>
      </w:r>
    </w:p>
    <w:p w14:paraId="09488B65">
      <w:pPr>
        <w:spacing w:line="28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为便于反复演示与验证，重做了初始化数据：清除此前遗留的不完整数据，重新生成一套包含 10 名学生、3 个学院、5 个缴费项目、35 笔订单及退款、对账、通知记录的演示数据，各金额口径可互相校验。同时提供一键重置脚本，执行时先备份数据库，再重建结构与数据，并自动生成一份带差异的模拟对账文件。当前系统运行正常，应收 73260 元、实收 66020 元、欠费 7240 元，缴费率 90.12%。</w:t>
      </w:r>
    </w:p>
    <w:p w14:paraId="7CCE434E">
      <w:pPr>
        <w:pStyle w:val="000004"/>
        <w:keepNext w:val="1"/>
        <w:keepLines w:val="1"/>
        <w:pBdr>
          <w:left w:val="single" w:color="1565c0" w:sz="32" w:space="12"/>
        </w:pBdr>
        <w:spacing w:before="240" w:beforeAutospacing="1" w:after="240" w:afterAutospacing="1" w:line="288"/>
        <w:ind w:left="240" w:right="240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8"/>
        </w:rPr>
        <w:t>六、仍需完善的功能模块</w:t>
      </w:r>
    </w:p>
    <w:p w14:paraId="27B32C81">
      <w:pPr>
        <w:numPr>
          <w:ilvl w:val="0"/>
          <w:numId w:val="1"/>
        </w:numPr>
        <w:pBdr>
          <w:left w:space="28"/>
        </w:pBdr>
        <w:spacing w:after="80" w:line="288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数据字典。用于统一维护缴费类型、学院、专业等基础数据，目前仅有页面入口，相关数据仍取自业务表。</w:t>
      </w:r>
    </w:p>
    <w:p w14:paraId="411F7654">
      <w:pPr>
        <w:numPr>
          <w:ilvl w:val="0"/>
          <w:numId w:val="1"/>
        </w:numPr>
        <w:pBdr>
          <w:left w:space="28"/>
        </w:pBdr>
        <w:spacing w:after="80" w:line="288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真实支付渠道。当前为模拟支付，资金未实际到账，接入前需申请商户资质。</w:t>
      </w:r>
    </w:p>
    <w:p w14:paraId="2C654A19">
      <w:pPr>
        <w:numPr>
          <w:ilvl w:val="0"/>
          <w:numId w:val="1"/>
        </w:numPr>
        <w:pBdr>
          <w:left w:space="28"/>
        </w:pBdr>
        <w:spacing w:after="80" w:line="288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账号找回。尚未提供忘记密码与验证码找回，密码遗失需由管理员重置。</w:t>
      </w:r>
    </w:p>
    <w:p w14:paraId="0BC99A99">
      <w:pPr>
        <w:numPr>
          <w:ilvl w:val="0"/>
          <w:numId w:val="1"/>
        </w:numPr>
        <w:pBdr>
          <w:left w:space="28"/>
        </w:pBdr>
        <w:spacing w:after="80" w:line="288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消息主动触达。缴费通知目前仅在系统内展示，未通过短信或微信推送。</w:t>
      </w:r>
    </w:p>
    <w:p w14:paraId="39CA2D2A">
      <w:pPr>
        <w:numPr>
          <w:ilvl w:val="0"/>
          <w:numId w:val="1"/>
        </w:numPr>
        <w:pBdr>
          <w:left w:space="28"/>
        </w:pBdr>
        <w:spacing w:after="80" w:line="288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安全加固。模拟支付的支付结果回调可被直接调用，退款缺少二次复核，登录未做失败次数限制，登录凭证存于内存、服务重启后需重新登录。这四项不影响试用，但上线前必须处理。</w:t>
      </w:r>
    </w:p>
    <w:p w14:paraId="76C87247">
      <w:pPr>
        <w:numPr>
          <w:ilvl w:val="0"/>
          <w:numId w:val="1"/>
        </w:numPr>
        <w:pBdr>
          <w:left w:space="28"/>
        </w:pBdr>
        <w:spacing w:after="80" w:line="288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自动化测试。目前依赖人工验证，回归成本较高。</w:t>
      </w:r>
    </w:p>
    <w:p w14:paraId="6097ABCB">
      <w:pPr>
        <w:pStyle w:val="000004"/>
        <w:keepNext w:val="1"/>
        <w:keepLines w:val="1"/>
        <w:pBdr>
          <w:left w:val="single" w:color="1565c0" w:sz="32" w:space="12"/>
        </w:pBdr>
        <w:spacing w:before="240" w:beforeAutospacing="1" w:after="240" w:afterAutospacing="1" w:line="288"/>
        <w:ind w:left="240" w:right="240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8"/>
        </w:rPr>
        <w:t>七、下一步计划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1827"/>
        <w:gridCol w:w="4984"/>
      </w:tblGrid>
      <w:tr>
        <w:trPr>
          <w:tblHeader w:val="1"/>
        </w:trPr>
        <w:tc>
          <w:tcPr>
            <w:tcW w:w="1495" w:type="dxa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val="clear" w:fill="f5f7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76684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阶段</w:t>
            </w:r>
          </w:p>
        </w:tc>
        <w:tc>
          <w:tcPr>
            <w:tcW w:w="1827" w:type="dxa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val="clear" w:fill="f5f7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6CA2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时间</w:t>
            </w:r>
          </w:p>
        </w:tc>
        <w:tc>
          <w:tcPr>
            <w:tcW w:w="4984" w:type="dxa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val="clear" w:fill="f5f7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967AE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主要工作</w:t>
            </w:r>
          </w:p>
        </w:tc>
      </w:tr>
      <w:tr>
        <w:trPr/>
        <w:tc>
          <w:tcPr>
            <w:tcW w:w="1495" w:type="dxa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31956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第一阶段</w:t>
            </w:r>
          </w:p>
        </w:tc>
        <w:tc>
          <w:tcPr>
            <w:tcW w:w="1827" w:type="dxa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7B481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10/26 – 11/03</w:t>
            </w:r>
          </w:p>
        </w:tc>
        <w:tc>
          <w:tcPr>
            <w:tcW w:w="4984" w:type="dxa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0FDEC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完成数据字典；补齐账号找回；完成安全加固（回调校验、退款复核、登录失败锁定、凭证持久化）</w:t>
            </w:r>
          </w:p>
        </w:tc>
      </w:tr>
      <w:tr>
        <w:trPr/>
        <w:tc>
          <w:tcPr>
            <w:tcW w:w="1495" w:type="dxa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87465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第二阶段</w:t>
            </w:r>
          </w:p>
        </w:tc>
        <w:tc>
          <w:tcPr>
            <w:tcW w:w="1827" w:type="dxa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59EA7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11/04 – 11/24</w:t>
            </w:r>
          </w:p>
        </w:tc>
        <w:tc>
          <w:tcPr>
            <w:tcW w:w="4984" w:type="dxa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786BB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接入真实支付渠道并完成联调；退款与对账按渠道规则调整</w:t>
            </w:r>
          </w:p>
        </w:tc>
      </w:tr>
      <w:tr>
        <w:trPr/>
        <w:tc>
          <w:tcPr>
            <w:tcW w:w="1495" w:type="dxa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C8AB1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第三阶段</w:t>
            </w:r>
          </w:p>
        </w:tc>
        <w:tc>
          <w:tcPr>
            <w:tcW w:w="1827" w:type="dxa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969A7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11/25 – 12/15</w:t>
            </w:r>
          </w:p>
        </w:tc>
        <w:tc>
          <w:tcPr>
            <w:tcW w:w="4984" w:type="dxa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814F6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增加短信或微信通知推送；优化移动端体验；完成正式部署与交付文档</w:t>
            </w:r>
          </w:p>
        </w:tc>
      </w:tr>
    </w:tbl>
    <w:p w14:paraId="2CEF10C1">
      <w:pPr>
        <w:spacing w:line="288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本阶段完成后，系统已具备完整走通「发布项目—缴费—退款—对账」的条件，后续两个阶段的重点分别是资金通道与使用体验。</w:t>
      </w:r>
    </w:p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800DBA8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Closing" w:semiHidden="1" w:unhideWhenUsed="1"/>
    <w:lsdException w:name="table of authorities" w:semiHidden="1" w:unhideWhenUsed="1"/>
    <w:lsdException w:name="Body Text 3" w:semiHidden="1" w:unhideWhenUsed="1"/>
    <w:lsdException w:name="List Bullet" w:semiHidden="1" w:unhideWhenUsed="1"/>
    <w:lsdException w:name="List Bullet 3" w:semiHidden="1" w:unhideWhenUsed="1"/>
    <w:lsdException w:name="List Bullet 2" w:semiHidden="1" w:unhideWhenUsed="1"/>
    <w:lsdException w:name="table of figures" w:semiHidden="1" w:unhideWhenUsed="1"/>
    <w:lsdException w:name="Body Text 2" w:semiHidden="1" w:unhideWhenUsed="1"/>
    <w:lsdException w:name="index 3" w:semiHidden="1" w:unhideWhenUsed="1"/>
    <w:lsdException w:name="List Number" w:semiHidden="1" w:unhideWhenUsed="1"/>
    <w:lsdException w:name="List 5" w:semiHidden="1" w:unhideWhenUsed="1"/>
    <w:lsdException w:name="annotation reference" w:semiHidden="1" w:unhideWhenUsed="1"/>
    <w:lsdException w:name="index 7" w:semiHidden="1" w:unhideWhenUsed="1"/>
    <w:lsdException w:name="Body Text First Indent 2" w:semiHidden="1" w:unhideWhenUsed="1"/>
    <w:lsdException w:name="index 6" w:semiHidden="1" w:unhideWhenUsed="1"/>
    <w:lsdException w:name="index 1" w:semiHidden="1" w:unhideWhenUsed="1"/>
    <w:lsdException w:name="heading 7" w:uiPriority="9" w:semiHidden="1" w:unhideWhenUsed="1" w:qFormat="1"/>
    <w:lsdException w:name="List 2" w:semiHidden="1" w:unhideWhenUsed="1"/>
    <w:lsdException w:name="toc 1" w:uiPriority="39" w:semiHidden="1" w:unhideWhenUsed="1"/>
    <w:lsdException w:name="heading 3" w:uiPriority="9" w:semiHidden="1" w:unhideWhenUsed="1" w:qFormat="1"/>
    <w:lsdException w:name="index 5" w:semiHidden="1" w:unhideWhenUsed="1"/>
    <w:lsdException w:name="List Number 2" w:semiHidden="1" w:unhideWhenUsed="1"/>
    <w:lsdException w:name="heading 2" w:uiPriority="9" w:semiHidden="1" w:unhideWhenUsed="1" w:qFormat="1"/>
    <w:lsdException w:name="List" w:semiHidden="1" w:unhideWhenUsed="1"/>
    <w:lsdException w:name="Date" w:semiHidden="1" w:unhideWhenUsed="1"/>
    <w:lsdException w:name="index 4" w:semiHidden="1" w:unhideWhenUsed="1"/>
    <w:lsdException w:name="toc 6" w:uiPriority="39" w:semiHidden="1" w:unhideWhenUsed="1"/>
    <w:lsdException w:name="toc 7" w:uiPriority="39" w:semiHidden="1" w:unhideWhenUsed="1"/>
    <w:lsdException w:name="heading 8" w:uiPriority="9" w:semiHidden="1" w:unhideWhenUsed="1" w:qFormat="1"/>
    <w:lsdException w:name="heading 9" w:uiPriority="9" w:semiHidden="1" w:unhideWhenUsed="1" w:qFormat="1"/>
    <w:lsdException w:name="envelope address" w:semiHidden="1" w:unhideWhenUsed="1"/>
    <w:lsdException w:name="caption" w:uiPriority="35" w:semiHidden="1" w:unhideWhenUsed="1" w:qFormat="1"/>
    <w:lsdException w:name="FollowedHyperlink" w:semiHidden="1" w:unhideWhenUsed="1"/>
    <w:lsdException w:name="List Continue 2" w:semiHidden="1" w:unhideWhenUsed="1"/>
    <w:lsdException w:name="index 9" w:semiHidden="1" w:unhideWhenUsed="1"/>
    <w:lsdException w:name="toc 3" w:uiPriority="39" w:semiHidden="1" w:unhideWhenUsed="1"/>
    <w:lsdException w:name="annotation text" w:semiHidden="1" w:unhideWhenUsed="1"/>
    <w:lsdException w:name="index 8" w:semiHidden="1" w:unhideWhenUsed="1"/>
    <w:lsdException w:name="List 4" w:semiHidden="1" w:unhideWhenUsed="1"/>
    <w:lsdException w:name="Signature" w:semiHidden="1" w:unhideWhenUsed="1"/>
    <w:lsdException w:name="Normal Indent" w:semiHidden="1" w:unhideWhenUsed="1"/>
    <w:lsdException w:name="toc 2" w:uiPriority="39" w:semiHidden="1" w:unhideWhenUsed="1"/>
    <w:lsdException w:name="Strong" w:uiPriority="22" w:qFormat="1"/>
    <w:lsdException w:name="heading 4" w:uiPriority="9" w:semiHidden="1" w:unhideWhenUsed="1" w:qFormat="1"/>
    <w:lsdException w:name="List Number 4" w:semiHidden="1" w:unhideWhenUsed="1"/>
    <w:lsdException w:name="toc 9" w:uiPriority="39" w:semiHidden="1" w:unhideWhenUsed="1"/>
    <w:lsdException w:name="index 2" w:semiHidden="1" w:unhideWhenUsed="1"/>
    <w:lsdException w:name="toc 8" w:uiPriority="39" w:semiHidden="1" w:unhideWhenUsed="1"/>
    <w:lsdException w:name="List Number 5" w:semiHidden="1" w:unhideWhenUsed="1"/>
    <w:lsdException w:name="Default Paragraph Font" w:uiPriority="1" w:semiHidden="1" w:unhideWhenUsed="1"/>
    <w:lsdException w:name="heading 5" w:uiPriority="9" w:semiHidden="1" w:unhideWhenUsed="1" w:qFormat="1"/>
    <w:lsdException w:name="line number" w:semiHidden="1" w:unhideWhenUsed="1"/>
    <w:lsdException w:name="page number" w:semiHidden="1" w:unhideWhenUsed="1"/>
    <w:lsdException w:name="List Continue" w:semiHidden="1" w:unhideWhenUsed="1"/>
    <w:lsdException w:name="macro" w:semiHidden="1" w:unhideWhenUsed="1"/>
    <w:lsdException w:name="Salutation" w:semiHidden="1" w:unhideWhenUsed="1"/>
    <w:lsdException w:name="envelope return" w:semiHidden="1" w:unhideWhenUsed="1"/>
    <w:lsdException w:name="heading 1" w:uiPriority="9" w:qFormat="1"/>
    <w:lsdException w:name="index heading" w:semiHidden="1" w:unhideWhenUsed="1"/>
    <w:lsdException w:name="toc 4" w:uiPriority="39" w:semiHidden="1" w:unhideWhenUsed="1"/>
    <w:lsdException w:name="Body Text" w:semiHidden="1" w:unhideWhenUsed="1"/>
    <w:lsdException w:name="Normal" w:uiPriority="0" w:qFormat="1"/>
    <w:lsdException w:name="Body Text Indent 2" w:semiHidden="1" w:unhideWhenUsed="1"/>
    <w:lsdException w:name="List Continue 5" w:semiHidden="1" w:unhideWhenUsed="1"/>
    <w:lsdException w:name="List Continue 4" w:semiHidden="1" w:unhideWhenUsed="1"/>
    <w:lsdException w:name="toc 5" w:uiPriority="39" w:semiHidden="1" w:unhideWhenUsed="1"/>
    <w:lsdException w:name="endnote reference" w:semiHidden="1" w:unhideWhenUsed="1"/>
    <w:lsdException w:name="endnote text" w:semiHidden="1" w:unhideWhenUsed="1"/>
    <w:lsdException w:name="Message Header" w:semiHidden="1" w:unhideWhenUsed="1"/>
    <w:lsdException w:name="heading 6" w:uiPriority="9" w:semiHidden="1" w:unhideWhenUsed="1" w:qFormat="1"/>
    <w:lsdException w:name="footnote reference" w:semiHidden="1" w:unhideWhenUsed="1"/>
    <w:lsdException w:name="Note Heading" w:semiHidden="1" w:unhideWhenUsed="1"/>
    <w:lsdException w:name="Subtitle" w:uiPriority="11" w:qFormat="1"/>
    <w:lsdException w:name="List 3" w:semiHidden="1" w:unhideWhenUsed="1"/>
    <w:lsdException w:name="Body Text First Indent" w:semiHidden="1" w:unhideWhenUsed="1"/>
    <w:lsdException w:name="footer" w:semiHidden="1" w:unhideWhenUsed="1"/>
    <w:lsdException w:name="List Number 3" w:semiHidden="1" w:unhideWhenUsed="1"/>
    <w:lsdException w:name="toa heading" w:semiHidden="1" w:unhideWhenUsed="1"/>
    <w:lsdException w:name="Title" w:uiPriority="10" w:qFormat="1"/>
    <w:lsdException w:name="footnote text" w:semiHidden="1" w:unhideWhenUsed="1"/>
    <w:lsdException w:name="Block Text" w:semiHidden="1" w:unhideWhenUsed="1"/>
    <w:lsdException w:name="Hyperlink" w:semiHidden="1" w:unhideWhenUsed="1"/>
    <w:lsdException w:name="Body Text Indent 3" w:semiHidden="1" w:unhideWhenUsed="1"/>
    <w:lsdException w:name="header" w:semiHidden="1" w:unhideWhenUsed="1"/>
    <w:lsdException w:name="List Bullet 5" w:semiHidden="1" w:unhideWhenUsed="1"/>
    <w:lsdException w:name="Body Text Indent" w:semiHidden="1" w:unhideWhenUsed="1"/>
    <w:lsdException w:name="List Bullet 4" w:semiHidden="1" w:unhideWhenUsed="1"/>
    <w:lsdException w:name="List Continue 3" w:semiHidden="1" w:unhideWhenUsed="1"/>
  </w:latentStyles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2026-10-25T22:03:25Z</dcterms:created>
  <dcterms:modified xsi:type="dcterms:W3CDTF">2026-10-25T22:03:25Z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"01a173540dbb75cc8068ba90c97d4232", "ReservedCode1": "", "ContentPropagator": "00119111010856365494821B355", "PropagateID": "01a173540dbb75cc8068ba90c97d4232", "ReservedCode2": ""}}</vt:lpwstr>
  </property>
</Properties>
</file>