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12 週：國際物流『材積重』收費演算法——長寬高乘積背後的商業空間經濟學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6上 課次12: 長方體與正方體體積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順豐速運與 DHL 國際航空快件運費計算單據審查：</w:t>
              <w:br/>
              <w:t>『國際空運計費重量取【實際重量】與【體積重量（材積重）】中的較大者。體積重計算公式為：長 (cm) × 闊 (cm) × 高 (cm) ÷ 6000』。</w:t>
              <w:br/>
              <w:t>市民陳先生寄送一個裝有特大太空棉抱枕的紙箱（長 60cm、闊 50cm、高 40cm），包裹實際秤重僅 2.5 kg。快遞員開出 20 kg 的運費收據，陳先生憤怒投訴『亂收費』。請你作為消委會數學仲裁員進行審核。</w:t>
              <w:br/>
              <w:t>【思考迷思】學生直覺認為『貨物重量就是秤上的指針讀數，憑什麼體積大就要多收錢？』無法理解飛機貨艙存在『容積（空間）約束』與『載重（質量）約束』的雙重物理極限。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12 週專題動態實驗台：國際物流『材積重』收費演算法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貨機機艙的總容積與最大起飛重量是固定的。若全機都裝載輕飄飄的大紙箱，飛機未達重量上限卻已塞滿艙位，將造成航空公司運力嚴重浪費。體積重公式實質上是將『空間佔用量』折算為『機會成本質量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12 週：國際物流『材積重』收費演算法——長寬高乘積背後的商業空間經濟學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【基礎練1】在【國際物流『材積重』收費演算法】的情境中，若給定基礎運算參數，請寫出其標準計算步驟並求得精確解答。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【前瞻高階思維拓展】【包裝最佳化演算法】某商品體積為 8000 cm³，若要設計長方體包裝盒使其表面積最小（最省紙板），長寬高應當如何設定？（立方體極值證明）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