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803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2B6CB0"/>
                <w:sz w:val="17"/>
                <w:rFonts w:ascii="微軟正黑體" w:hAnsi="微軟正黑體" w:eastAsia="微軟正黑體"/>
              </w:rPr>
              <w:t>聖若瑟教區中學第五校 · 2025/2026學年 小六數學思維課堂探究單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/>
                <w:i w:val="0"/>
                <w:color w:val="1A365D"/>
                <w:sz w:val="23"/>
                <w:rFonts w:ascii="微軟正黑體" w:hAnsi="微軟正黑體" w:eastAsia="微軟正黑體"/>
              </w:rPr>
              <w:t>第 07 週：家庭階梯電費與碳排放計算——非線性定價與氣候永續意識</w:t>
            </w:r>
          </w:p>
          <w:p>
            <w:pPr>
              <w:spacing w:before="0" w:after="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6"/>
                <w:rFonts w:ascii="微軟正黑體" w:hAnsi="微軟正黑體" w:eastAsia="微軟正黑體"/>
              </w:rPr>
              <w:t>【PISA素養】變化與關係 (Change &amp; Relationships) | 6上 課次7: 小數四則混合與估算</w:t>
            </w:r>
          </w:p>
        </w:tc>
        <w:tc>
          <w:tcPr>
            <w:tcW w:type="dxa" w:w="3288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班級：小六 ______ 班   座號：______</w:t>
            </w:r>
          </w:p>
          <w:p>
            <w:pPr>
              <w:spacing w:before="0" w:after="40"/>
              <w:jc w:val="right"/>
            </w:pPr>
            <w:r>
              <w:rPr>
                <w:rFonts w:ascii="微軟正黑體" w:hAnsi="微軟正黑體"/>
                <w:b/>
                <w:i w:val="0"/>
                <w:color w:val="2D3748"/>
                <w:sz w:val="18"/>
                <w:rFonts w:ascii="微軟正黑體" w:hAnsi="微軟正黑體" w:eastAsia="微軟正黑體"/>
              </w:rPr>
              <w:t>姓名：______________   日期：___/___</w:t>
            </w:r>
          </w:p>
          <w:p>
            <w:pPr>
              <w:spacing w:before="0" w:after="0"/>
              <w:jc w:val="right"/>
            </w:pPr>
            <w:r>
              <w:rPr>
                <w:rFonts w:ascii="微軟正黑體" w:hAnsi="微軟正黑體"/>
                <w:b/>
                <w:i w:val="0"/>
                <w:color w:val="2B6CB0"/>
                <w:sz w:val="16"/>
                <w:rFonts w:ascii="微軟正黑體" w:hAnsi="微軟正黑體" w:eastAsia="微軟正黑體"/>
              </w:rPr>
              <w:t>【第 1 版 / 共 2 版 (正面)】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7FAFC"/>
            <w:tcBorders>
              <w:top w:val="none"/>
              <w:left w:val="single" w:sz="24" w:space="0" w:color="1A365D"/>
              <w:bottom w:val="none"/>
              <w:right w:val="none"/>
            </w:tcBorders>
            <w:tcMar>
              <w:top w:w="80" w:type="dxa"/>
              <w:left w:w="120" w:type="dxa"/>
              <w:bottom w:w="8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1A365D"/>
                <w:sz w:val="20"/>
                <w:rFonts w:ascii="微軟正黑體" w:hAnsi="微軟正黑體" w:eastAsia="微軟正黑體"/>
              </w:rPr>
              <w:t>一、 PISA 2029 素養情境導引與文本審查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8"/>
                <w:rFonts w:ascii="微軟正黑體" w:hAnsi="微軟正黑體" w:eastAsia="微軟正黑體"/>
              </w:rPr>
              <w:t>澳門電力公司（CEM）家庭階梯電費單據審查：</w:t>
              <w:br/>
              <w:t>• 第一階梯（1-200度）：每度 1.15 澳門元</w:t>
              <w:br/>
              <w:t>• 第二階梯（201-400度）：每度 1.35 澳門元</w:t>
              <w:br/>
              <w:t>• 第三階梯（401度以上）：每度 1.60 澳門元</w:t>
              <w:br/>
              <w:t>某家庭夏季用電 450 度，父親主張：『450度屬於第三階梯，所以總電費直接用 450 × 1.60 = 720 元！』請你審查該計費是否正確。</w:t>
              <w:br/>
              <w:t>【思考迷思】學生極易將『分段階梯收費』誤解為『全額累進跳價』，認為只要超過門檻，全部用電量都按最高單價計算，混淆了邊際增量與總量計費的本質區別。</w:t>
            </w:r>
          </w:p>
          <w:p>
            <w:pPr>
              <w:spacing w:before="40" w:after="0"/>
            </w:pPr>
            <w:r>
              <w:rPr>
                <w:rFonts w:ascii="微軟正黑體" w:hAnsi="微軟正黑體"/>
                <w:b w:val="0"/>
                <w:i/>
                <w:color w:val="2B6CB0"/>
                <w:sz w:val="17"/>
                <w:rFonts w:ascii="微軟正黑體" w:hAnsi="微軟正黑體" w:eastAsia="微軟正黑體"/>
              </w:rPr>
              <w:t>✎ 審題標註：請用紅筆或螢光筆圈出文本中的【基準量（單位『1』）】與【核心變數】。</w:t>
            </w:r>
          </w:p>
        </w:tc>
      </w:tr>
    </w:tbl>
    <w:p>
      <w:pPr>
        <w:spacing w:before="80"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91"/>
            <w:shd w:fill="FFFFFF"/>
            <w:tcBorders>
              <w:top w:val="none"/>
              <w:left w:val="single" w:sz="20" w:space="0" w:color="2B6CB0"/>
              <w:bottom w:val="none"/>
              <w:right w:val="none"/>
            </w:tcBorders>
            <w:tcMar>
              <w:top w:w="60" w:type="dxa"/>
              <w:left w:w="120" w:type="dxa"/>
              <w:bottom w:w="60" w:type="dxa"/>
              <w:right w:w="100" w:type="dxa"/>
            </w:tcMar>
          </w:tcPr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B6CB0"/>
                <w:sz w:val="20"/>
                <w:rFonts w:ascii="微軟正黑體" w:hAnsi="微軟正黑體" w:eastAsia="微軟正黑體"/>
              </w:rPr>
              <w:t>二、 課堂動態實驗操作：家庭階梯電費與碳排放計算動態曲線實驗台</w:t>
            </w:r>
          </w:p>
          <w:p>
            <w:pPr>
              <w:spacing w:before="0" w:after="60"/>
            </w:pPr>
            <w:r>
              <w:rPr>
                <w:rFonts w:ascii="微軟正黑體" w:hAnsi="微軟正黑體"/>
                <w:b/>
                <w:i w:val="0"/>
                <w:color w:val="2D3748"/>
                <w:sz w:val="17"/>
                <w:rFonts w:ascii="微軟正黑體" w:hAnsi="微軟正黑體" w:eastAsia="微軟正黑體"/>
              </w:rPr>
              <w:t>★ 實驗原理與數學模型：分段階梯定價採取邊際定價原則。每度電僅在其所屬區間按該區間單價計費，總費用是各段長方形面積之和，破除全額高階單價暴增的誤解。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1. 拖動滑桿調節家庭月用電量 E（0 至 800 度）。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2. 觀察三段階梯電費柱狀圖的面積疊加（第一階梯 1-200度，第二階梯 201-400度，第三階梯 401度以上）。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7"/>
                <w:rFonts w:ascii="微軟正黑體" w:hAnsi="微軟正黑體" w:eastAsia="微軟正黑體"/>
              </w:rPr>
              <w:t>3. 查看動態碳排放量指針（每度電產生 0.55 公斤二氧化碳），計算節能減碳收益。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1489"/>
        <w:gridCol w:w="1489"/>
        <w:gridCol w:w="1489"/>
        <w:gridCol w:w="1489"/>
        <w:gridCol w:w="1489"/>
        <w:gridCol w:w="1489"/>
        <w:gridCol w:w="1489"/>
      </w:tblGrid>
      <w:tr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用電量 E (度)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第1階 (1-200@1.15)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第2階 (201-400@1.35)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第3階 (&gt;400@1.60)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正確分段總電費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錯誤全額高價電費</w:t>
            </w:r>
          </w:p>
        </w:tc>
        <w:tc>
          <w:tcPr>
            <w:tcW w:type="dxa" w:w="1442"/>
            <w:shd w:fill="1A365D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FFFFFF"/>
                <w:sz w:val="17"/>
                <w:rFonts w:ascii="微軟正黑體" w:hAnsi="微軟正黑體" w:eastAsia="微軟正黑體"/>
              </w:rPr>
              <w:t>差額優惠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150 度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150×1.15 = 172.5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172.5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172.5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300 度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100×1.35 = 135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365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405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40 元</w:t>
            </w:r>
          </w:p>
        </w:tc>
      </w:tr>
      <w:tr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450 度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200×1.35 = 270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50×1.60 = 80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580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720 元</w:t>
            </w:r>
          </w:p>
        </w:tc>
        <w:tc>
          <w:tcPr>
            <w:tcW w:type="dxa" w:w="1442"/>
            <w:shd w:fill="FFFFFF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140 元</w:t>
            </w:r>
          </w:p>
        </w:tc>
      </w:tr>
      <w:tr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600 度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200×1.15 = 230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200×1.35 = 270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200×1.60 = 320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820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960 元</w:t>
            </w:r>
          </w:p>
        </w:tc>
        <w:tc>
          <w:tcPr>
            <w:tcW w:type="dxa" w:w="1442"/>
            <w:shd w:fill="F0F4F8"/>
            <w:tcMar>
              <w:top w:w="50" w:type="dxa"/>
              <w:left w:w="50" w:type="dxa"/>
              <w:bottom w:w="50" w:type="dxa"/>
              <w:right w:w="5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 w:val="0"/>
                <w:i w:val="0"/>
                <w:color w:val="2D3748"/>
                <w:sz w:val="16"/>
                <w:rFonts w:ascii="微軟正黑體" w:hAnsi="微軟正黑體" w:eastAsia="微軟正黑體"/>
              </w:rPr>
              <w:t>省 140 元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7"/>
          <w:rFonts w:ascii="微軟正黑體" w:hAnsi="微軟正黑體" w:eastAsia="微軟正黑體"/>
        </w:rPr>
        <w:t>【規律發現】階梯電費是______累進計費，超出門檻的部分才適用高單價，這種定價策略既保障了基礎民生，又能透過價格槓桿激勵______。</w:t>
      </w:r>
    </w:p>
    <w:p>
      <w:r>
        <w:br w:type="page"/>
      </w:r>
    </w:p>
    <w:p>
      <w:pPr>
        <w:spacing w:before="0" w:after="6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第 07 週：家庭階梯電費與碳排放計算——非線性定價與氣候永續意識</w:t>
      </w:r>
      <w:r>
        <w:rPr>
          <w:rFonts w:ascii="微軟正黑體" w:hAnsi="微軟正黑體"/>
          <w:b/>
          <w:i w:val="0"/>
          <w:color w:val="2B6CB0"/>
          <w:sz w:val="17"/>
          <w:rFonts w:ascii="微軟正黑體" w:hAnsi="微軟正黑體" w:eastAsia="微軟正黑體"/>
        </w:rPr>
        <w:t xml:space="preserve">  |  【第 2 版 / 共 2 版 (背面)】</w:t>
      </w:r>
    </w:p>
    <w:p>
      <w:pPr>
        <w:spacing w:before="40" w:after="60"/>
      </w:pPr>
      <w:r>
        <w:rPr>
          <w:rFonts w:ascii="微軟正黑體" w:hAnsi="微軟正黑體"/>
          <w:b/>
          <w:i w:val="0"/>
          <w:color w:val="1A365D"/>
          <w:sz w:val="20"/>
          <w:rFonts w:ascii="微軟正黑體" w:hAnsi="微軟正黑體" w:eastAsia="微軟正黑體"/>
        </w:rPr>
        <w:t>三、 CER 學術論證實踐（主張 - 證據 - 推理 - 反駁）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5213"/>
        <w:gridCol w:w="5213"/>
      </w:tblGrid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🟢 主張 (Claim)</w:t>
              <w:br/>
              <w:t>明確立場結論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我的明確結論是：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🟡 證據 (Evidence)</w:t>
              <w:br/>
              <w:t>數據/算理事實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支持我的計算數據與事實是：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🔵 推理 (Reasoning)</w:t>
              <w:br/>
              <w:t>底層數理本質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連結證據到主張的數學原理是：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  <w:tr>
        <w:tc>
          <w:tcPr>
            <w:tcW w:type="dxa" w:w="1928"/>
            <w:shd w:fill="F7FAFC"/>
            <w:tcMar>
              <w:top w:w="40" w:type="dxa"/>
              <w:left w:w="40" w:type="dxa"/>
              <w:bottom w:w="4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D3748"/>
                <w:sz w:val="16"/>
                <w:rFonts w:ascii="微軟正黑體" w:hAnsi="微軟正黑體" w:eastAsia="微軟正黑體"/>
              </w:rPr>
              <w:t>🔴 反駁 (Rebuttal)</w:t>
              <w:br/>
              <w:t>直擊直覺迷思</w:t>
            </w:r>
          </w:p>
        </w:tc>
        <w:tc>
          <w:tcPr>
            <w:tcW w:type="dxa" w:w="8164"/>
            <w:shd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/>
                <w:color w:val="718096"/>
                <w:sz w:val="16"/>
                <w:rFonts w:ascii="微軟正黑體" w:hAnsi="微軟正黑體" w:eastAsia="微軟正黑體"/>
              </w:rPr>
              <w:t>反駁直覺常見誤解：</w:t>
            </w:r>
          </w:p>
          <w:p>
            <w:pPr>
              <w:spacing w:before="0" w:after="4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  <w:p>
            <w:pPr>
              <w:spacing w:before="0" w:after="20"/>
            </w:pPr>
            <w:r>
              <w:rPr>
                <w:rFonts w:ascii="微軟正黑體" w:hAnsi="微軟正黑體"/>
                <w:b w:val="0"/>
                <w:i w:val="0"/>
                <w:color w:val="718096"/>
                <w:sz w:val="15"/>
                <w:rFonts w:ascii="微軟正黑體" w:hAnsi="微軟正黑體" w:eastAsia="微軟正黑體"/>
              </w:rPr>
              <w:t>____________________________________________________________________________________</w:t>
            </w:r>
          </w:p>
        </w:tc>
      </w:tr>
    </w:tbl>
    <w:p>
      <w:pPr>
        <w:spacing w:before="80" w:after="40"/>
      </w:pPr>
      <w:r>
        <w:rPr>
          <w:rFonts w:ascii="微軟正黑體" w:hAnsi="微軟正黑體"/>
          <w:b/>
          <w:i w:val="0"/>
          <w:color w:val="1A365D"/>
          <w:sz w:val="19"/>
          <w:rFonts w:ascii="微軟正黑體" w:hAnsi="微軟正黑體" w:eastAsia="微軟正黑體"/>
        </w:rPr>
        <w:t>四、 PISA 2029 基礎精準練（掌握本質與單位率）</w:t>
      </w:r>
    </w:p>
    <w:p>
      <w:pPr>
        <w:spacing w:before="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【基礎練1】小明家夏季某月用電量為 320 度，按照上述階梯電價標準，應繳電費多少元？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20" w:after="2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【基礎練2】若小華家上月電費為 432.5 元，請逆向推算他家上月的用電量是多少度？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解：________________________________________________________________________________</w:t>
        <w:br/>
        <w:t>答：________________________________________________________________________________</w:t>
      </w:r>
    </w:p>
    <w:p>
      <w:pPr>
        <w:spacing w:before="60" w:after="40"/>
      </w:pPr>
      <w:r>
        <w:rPr>
          <w:rFonts w:ascii="微軟正黑體" w:hAnsi="微軟正黑體"/>
          <w:b/>
          <w:i w:val="0"/>
          <w:color w:val="2B6CB0"/>
          <w:sz w:val="19"/>
          <w:rFonts w:ascii="微軟正黑體" w:hAnsi="微軟正黑體" w:eastAsia="微軟正黑體"/>
        </w:rPr>
        <w:t>五、 PISA 2029 拓展突破題（計算思維 / 媒體審查 MAIL / 演算法設計）</w:t>
      </w:r>
    </w:p>
    <w:p>
      <w:pPr>
        <w:spacing w:before="0" w:after="40"/>
      </w:pPr>
      <w:r>
        <w:rPr>
          <w:rFonts w:ascii="微軟正黑體" w:hAnsi="微軟正黑體"/>
          <w:b w:val="0"/>
          <w:i w:val="0"/>
          <w:color w:val="2D3748"/>
          <w:sz w:val="17"/>
          <w:rFonts w:ascii="微軟正黑體" w:hAnsi="微軟正黑體" w:eastAsia="微軟正黑體"/>
        </w:rPr>
        <w:t>【PISA 拓展與氣候素養】若澳門全澳 20 萬戶家庭平均每戶每月主動調高冷氣溫度 1 度，節電 30 度。按每度電排放 0.55 公斤 CO₂ 計算，全澳每月可減少碳排放多少公噸？請寫出完整的算理表達式。</w:t>
      </w:r>
    </w:p>
    <w:p>
      <w:pPr>
        <w:spacing w:before="0" w:after="60"/>
      </w:pPr>
      <w:r>
        <w:rPr>
          <w:rFonts w:ascii="微軟正黑體" w:hAnsi="微軟正黑體"/>
          <w:b w:val="0"/>
          <w:i w:val="0"/>
          <w:color w:val="718096"/>
          <w:sz w:val="16"/>
          <w:rFonts w:ascii="微軟正黑體" w:hAnsi="微軟正黑體" w:eastAsia="微軟正黑體"/>
        </w:rPr>
        <w:t>思考過程與演算法步驟：</w:t>
        <w:br/>
        <w:t>____________________________________________________________________________________</w:t>
        <w:br/>
        <w:t>____________________________________________________________________________________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A365D"/>
          <w:left w:val="single" w:sz="4" w:space="0" w:color="CBD5E0"/>
          <w:bottom w:val="single" w:sz="10" w:space="0" w:color="1A365D"/>
          <w:right w:val="single" w:sz="4" w:space="0" w:color="CBD5E0"/>
          <w:insideH w:val="single" w:sz="4" w:space="0" w:color="CBD5E0"/>
          <w:insideV w:val="single" w:sz="4" w:space="0" w:color="CBD5E0"/>
        </w:tblBorders>
      </w:tblPr>
      <w:tblGrid>
        <w:gridCol w:w="3475"/>
        <w:gridCol w:w="3475"/>
        <w:gridCol w:w="3475"/>
      </w:tblGrid>
      <w:tr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① 動態實驗操作與數據記錄</w:t>
              <w:br/>
              <w:t>★ ★ ★ (完全自主/需指引/未完成)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② CER 學術論證與反駁深度</w:t>
              <w:br/>
              <w:t>★ ★ ★ (邏輯嚴密/有論據/待加強)</w:t>
            </w:r>
          </w:p>
        </w:tc>
        <w:tc>
          <w:tcPr>
            <w:tcW w:type="dxa" w:w="3364"/>
            <w:shd w:fill="F7FAFC"/>
            <w:tcMar>
              <w:top w:w="30" w:type="dxa"/>
              <w:left w:w="40" w:type="dxa"/>
              <w:bottom w:w="30" w:type="dxa"/>
              <w:right w:w="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軟正黑體" w:hAnsi="微軟正黑體"/>
                <w:b/>
                <w:i w:val="0"/>
                <w:color w:val="2B6CB0"/>
                <w:sz w:val="15"/>
                <w:rFonts w:ascii="微軟正黑體" w:hAnsi="微軟正黑體" w:eastAsia="微軟正黑體"/>
              </w:rPr>
              <w:t>③ PISA 情境題與拓展創新</w:t>
              <w:br/>
              <w:t>★ ★ ★ (突破完成/掌握基礎/需輔導)</w:t>
            </w:r>
          </w:p>
        </w:tc>
      </w:tr>
    </w:tbl>
    <w:sectPr w:rsidR="00FC693F" w:rsidRPr="0006063C" w:rsidSect="00034616">
      <w:pgSz w:w="12240" w:h="15840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