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微軟正黑體" w:hAnsi="微軟正黑體"/>
          <w:b/>
          <w:color w:val="718096"/>
          <w:sz w:val="19"/>
        </w:rPr>
        <w:t>學校課程發展委員會 · 內部行政與決策專題研討報告</w:t>
      </w:r>
    </w:p>
    <w:p>
      <w:pPr>
        <w:spacing w:before="120" w:after="120"/>
      </w:pPr>
      <w:r>
        <w:rPr>
          <w:rFonts w:ascii="微軟正黑體" w:hAnsi="微軟正黑體"/>
          <w:b/>
          <w:color w:val="1A365D"/>
          <w:sz w:val="36"/>
        </w:rPr>
        <w:t>從國際標竿到校本課堂：PISA 2025 澳門數據對學校課程改革之深度診斷與行動藍圖</w:t>
      </w:r>
    </w:p>
    <w:p>
      <w:pPr>
        <w:spacing w:before="0" w:after="280"/>
      </w:pPr>
      <w:r>
        <w:rPr>
          <w:rFonts w:ascii="微軟正黑體" w:hAnsi="微軟正黑體"/>
          <w:color w:val="2B6CB0"/>
          <w:sz w:val="24"/>
        </w:rPr>
        <w:t>在高成就與高公平背後：剖析深層素養斷層、學習動機危機與 AI 時代課程重構</w:t>
      </w:r>
    </w:p>
    <w:tbl>
      <w:tblPr>
        <w:tblW w:type="auto" w:w="0"/>
        <w:jc w:val="center"/>
        <w:tblLook w:firstColumn="1" w:firstRow="1" w:lastColumn="0" w:lastRow="0" w:noHBand="0" w:noVBand="1" w:val="04A0"/>
      </w:tblPr>
      <w:tblGrid>
        <w:gridCol w:w="4680"/>
        <w:gridCol w:w="4680"/>
      </w:tblGrid>
      <w:tr>
        <w:tc>
          <w:tcPr>
            <w:tcW w:type="dxa" w:w="4608"/>
            <w:shd w:fill="F7FAFC"/>
            <w:tcMar>
              <w:top w:w="70" w:type="dxa"/>
              <w:left w:w="100" w:type="dxa"/>
              <w:bottom w:w="70" w:type="dxa"/>
              <w:right w:w="100" w:type="dxa"/>
            </w:tcMar>
          </w:tcPr>
          <w:p>
            <w:r>
              <w:rPr>
                <w:b/>
              </w:rPr>
              <w:t>呈交單位：</w:t>
            </w:r>
            <w:r>
              <w:t>課程發展處 / 數學科暨跨學科課程發展組</w:t>
            </w:r>
          </w:p>
        </w:tc>
        <w:tc>
          <w:tcPr>
            <w:tcW w:type="dxa" w:w="4752"/>
            <w:shd w:fill="F7FAFC"/>
            <w:tcMar>
              <w:top w:w="70" w:type="dxa"/>
              <w:left w:w="100" w:type="dxa"/>
              <w:bottom w:w="70" w:type="dxa"/>
              <w:right w:w="100" w:type="dxa"/>
            </w:tcMar>
          </w:tcPr>
          <w:p>
            <w:r>
              <w:rPr>
                <w:b/>
              </w:rPr>
              <w:t>呈交對象：</w:t>
            </w:r>
            <w:r>
              <w:t>校長室、教務委員會、學術委員會、各學科組長</w:t>
            </w:r>
          </w:p>
        </w:tc>
      </w:tr>
      <w:tr>
        <w:tc>
          <w:tcPr>
            <w:tcW w:type="dxa" w:w="4608"/>
            <w:shd w:fill="F7FAFC"/>
            <w:tcMar>
              <w:top w:w="70" w:type="dxa"/>
              <w:left w:w="100" w:type="dxa"/>
              <w:bottom w:w="70" w:type="dxa"/>
              <w:right w:w="100" w:type="dxa"/>
            </w:tcMar>
          </w:tcPr>
          <w:p>
            <w:r>
              <w:rPr>
                <w:b/>
              </w:rPr>
              <w:t>報告視角：</w:t>
            </w:r>
            <w:r>
              <w:t>課程發展助理主任（Curriculum Development Assistant Director）</w:t>
            </w:r>
          </w:p>
        </w:tc>
        <w:tc>
          <w:tcPr>
            <w:tcW w:type="dxa" w:w="4752"/>
            <w:shd w:fill="F7FAFC"/>
            <w:tcMar>
              <w:top w:w="70" w:type="dxa"/>
              <w:left w:w="100" w:type="dxa"/>
              <w:bottom w:w="70" w:type="dxa"/>
              <w:right w:w="100" w:type="dxa"/>
            </w:tcMar>
          </w:tcPr>
          <w:p>
            <w:r>
              <w:rPr>
                <w:b/>
              </w:rPr>
              <w:t>報告日期：</w:t>
            </w:r>
            <w:r>
              <w:t>2026 年 9 月 | 文件層級：校內重要政策研討</w:t>
            </w:r>
          </w:p>
        </w:tc>
      </w:tr>
    </w:tbl>
    <w:p>
      <w:pPr>
        <w:spacing w:before="160" w:after="160"/>
      </w:pPr>
    </w:p>
    <w:p>
      <w:pPr>
        <w:keepNext/>
        <w:spacing w:before="360" w:after="160"/>
      </w:pPr>
      <w:r>
        <w:rPr>
          <w:rFonts w:ascii="微軟正黑體" w:hAnsi="微軟正黑體"/>
          <w:b/>
          <w:color w:val="1A365D"/>
          <w:sz w:val="28"/>
        </w:rPr>
        <w:t>【執行摘要】由「總分排名思維」全面轉向「課程智慧（Curriculum Intelligence）」</w:t>
      </w:r>
    </w:p>
    <w:p>
      <w:pPr>
        <w:spacing w:after="100" w:line="300" w:lineRule="auto"/>
      </w:pPr>
      <w:r>
        <w:rPr>
          <w:rFonts w:ascii="微軟正黑體" w:hAnsi="微軟正黑體"/>
          <w:i w:val="0"/>
          <w:color w:val="2D3748"/>
          <w:sz w:val="20"/>
        </w:rPr>
        <w:t>經濟合作與發展組織（OECD）於 2026 年 9 月 8 日正式公布 PISA 2025 國際評估結果。澳門 15 歲學生在本次評估中展現出令人矚目的總體成就：數學得分 549 分（全球第 3）、科學得分 541 分（全球第 3）、閱讀得分 501 分（全球第 5）；尤為亮眼的是，本屆首次作為核心創新領域呈現的「在數碼世界中的學習」（Learning in the Digital World: Computational Problem Solving, CPS）澳門勇奪 572 分，位列全球所有參測經濟體第一名，高表現學生（Level 5–6）佔比高達 53.7%。然而，作為學校課程發展管理者，若僅停留在「為澳門排名喝彩」的宏觀敘事，將嚴重錯失推動校本深層變革的關鍵契機。</w:t>
      </w:r>
    </w:p>
    <w:p>
      <w:pPr>
        <w:spacing w:after="100" w:line="300" w:lineRule="auto"/>
      </w:pPr>
      <w:r>
        <w:rPr>
          <w:rFonts w:ascii="微軟正黑體" w:hAnsi="微軟正黑體"/>
          <w:i w:val="0"/>
          <w:color w:val="2D3748"/>
          <w:sz w:val="20"/>
        </w:rPr>
        <w:t>深入穿透平均分表象，本報告基於 OECD 原始數據與澳門本地實證，挖掘出五大不容忽視的結構性隱患與悖論：</w:t>
      </w:r>
    </w:p>
    <w:p>
      <w:pPr>
        <w:pStyle w:val="ListBullet"/>
        <w:spacing w:after="50" w:line="288" w:lineRule="auto"/>
      </w:pPr>
      <w:r>
        <w:rPr>
          <w:rFonts w:ascii="微軟正黑體" w:hAnsi="微軟正黑體"/>
          <w:b/>
          <w:color w:val="2D3748"/>
          <w:sz w:val="19"/>
        </w:rPr>
        <w:t>1. 數理高光下的閱讀斷層：</w:t>
      </w:r>
      <w:r>
        <w:rPr>
          <w:rFonts w:ascii="微軟正黑體" w:hAnsi="微軟正黑體"/>
          <w:color w:val="2D3748"/>
          <w:sz w:val="19"/>
        </w:rPr>
        <w:t>澳門 2022 至 2025 年數理表現維持平穩（數學 -3 分，科學 -2 分），但閱讀素養出現顯著滑落（-9 分，由 510 降至 501）。此滑落直接暴露出學生在面對跨學科長題幹、多模態圖表與複雜真實情境時的「學科素養（Disciplinary Literacy）」存在明顯短板，直接威脅高階數理建模之根基。</w:t>
      </w:r>
    </w:p>
    <w:p>
      <w:pPr>
        <w:pStyle w:val="ListBullet"/>
        <w:spacing w:after="50" w:line="288" w:lineRule="auto"/>
      </w:pPr>
      <w:r>
        <w:rPr>
          <w:rFonts w:ascii="微軟正黑體" w:hAnsi="微軟正黑體"/>
          <w:b/>
          <w:color w:val="2D3748"/>
          <w:sz w:val="19"/>
        </w:rPr>
        <w:t>2. 頂層與底層差距擴大：</w:t>
      </w:r>
      <w:r>
        <w:rPr>
          <w:rFonts w:ascii="微軟正黑體" w:hAnsi="微軟正黑體"/>
          <w:color w:val="2D3748"/>
          <w:sz w:val="19"/>
        </w:rPr>
        <w:t>雖然澳門社經背景對成績的解釋率僅約 4%（OECD 平均 12%），具備卓越的教育公平指標，但 2015 至 2025 年間優勢與弱勢學生的科學差距已現擴大趨勢；2022 至 2025 年數學最高 10%（P90）與最低 10%（P10）之分化顯著加劇，出現「高均分掩蓋下的底線下墜與兩極分化」隱憂。</w:t>
      </w:r>
    </w:p>
    <w:p>
      <w:pPr>
        <w:pStyle w:val="ListBullet"/>
        <w:spacing w:after="50" w:line="288" w:lineRule="auto"/>
      </w:pPr>
      <w:r>
        <w:rPr>
          <w:rFonts w:ascii="微軟正黑體" w:hAnsi="微軟正黑體"/>
          <w:b/>
          <w:color w:val="2D3748"/>
          <w:sz w:val="19"/>
        </w:rPr>
        <w:t>3. 高成就 × 低投入文化：</w:t>
      </w:r>
      <w:r>
        <w:rPr>
          <w:rFonts w:ascii="微軟正黑體" w:hAnsi="微軟正黑體"/>
          <w:color w:val="2D3748"/>
          <w:sz w:val="19"/>
        </w:rPr>
        <w:t>澳門僅 58.1% 的學生表示「喜歡在學校學習新事物」（OECD 平均 68.8%），學校歸屬感與家庭支持感指數相對低落，呈現典型的「很會應試、但缺乏求知熱忱」的情感沙漠現象，自主學習動機與成長型思維亟需制度化重塑。</w:t>
      </w:r>
    </w:p>
    <w:p>
      <w:pPr>
        <w:pStyle w:val="ListBullet"/>
        <w:spacing w:after="50" w:line="288" w:lineRule="auto"/>
      </w:pPr>
      <w:r>
        <w:rPr>
          <w:rFonts w:ascii="微軟正黑體" w:hAnsi="微軟正黑體"/>
          <w:b/>
          <w:color w:val="2D3748"/>
          <w:sz w:val="19"/>
        </w:rPr>
        <w:t>4. AI 普及與數位干擾代價：</w:t>
      </w:r>
      <w:r>
        <w:rPr>
          <w:rFonts w:ascii="微軟正黑體" w:hAnsi="微軟正黑體"/>
          <w:color w:val="2D3748"/>
          <w:sz w:val="19"/>
        </w:rPr>
        <w:t>澳門 67% 的學生每週使用 AI Chatbot 輔助學習（OECD 平均 46%），但在作業初稿（40%）與文本摘要（41%）的高頻使用中，極易引發「認知外包（Cognitive Offloading）」與思維萎縮風險；同時，課堂數位干擾雖僅佔 13%，但受干擾學生在控制社經背景後科學成績驟降 24 分（OECD 僅 11 分），干擾代價極其高昂。</w:t>
      </w:r>
    </w:p>
    <w:p>
      <w:pPr>
        <w:pStyle w:val="ListBullet"/>
        <w:spacing w:after="50" w:line="288" w:lineRule="auto"/>
      </w:pPr>
      <w:r>
        <w:rPr>
          <w:rFonts w:ascii="微軟正黑體" w:hAnsi="微軟正黑體"/>
          <w:b/>
          <w:color w:val="2D3748"/>
          <w:sz w:val="19"/>
        </w:rPr>
        <w:t>5. 縱向課程貫通迫在眉睫：</w:t>
      </w:r>
      <w:r>
        <w:rPr>
          <w:rFonts w:ascii="微軟正黑體" w:hAnsi="微軟正黑體"/>
          <w:color w:val="2D3748"/>
          <w:sz w:val="19"/>
        </w:rPr>
        <w:t>若將 15 歲需要具備的批判推理、系統建模與運算思維留至初三才突擊，為時已晚。學校必須啟動 P1–S6 逆向設計，打通小初高學段壁壘，嚴防各關鍵年段的能力斷層。</w:t>
      </w:r>
    </w:p>
    <w:tbl>
      <w:tblPr>
        <w:tblW w:type="auto" w:w="0"/>
        <w:jc w:val="center"/>
        <w:tblLayout w:type="fixed"/>
        <w:tblLook w:firstColumn="1" w:firstRow="1" w:lastColumn="0" w:lastRow="0" w:noHBand="0" w:noVBand="1" w:val="04A0"/>
      </w:tblPr>
      <w:tblGrid>
        <w:gridCol w:w="9360"/>
      </w:tblGrid>
      <w:tr>
        <w:tc>
          <w:tcPr>
            <w:tcW w:type="dxa" w:w="9360"/>
            <w:shd w:fill="F7FAFC"/>
            <w:tcBorders>
              <w:top w:val="none"/>
              <w:left w:val="single" w:sz="28" w:space="0" w:color="1A365D"/>
              <w:bottom w:val="none"/>
              <w:right w:val="none"/>
            </w:tcBorders>
            <w:tcMar>
              <w:top w:w="140" w:type="dxa"/>
              <w:left w:w="200" w:type="dxa"/>
              <w:bottom w:w="140" w:type="dxa"/>
              <w:right w:w="180" w:type="dxa"/>
            </w:tcMar>
          </w:tcPr>
          <w:p>
            <w:pPr>
              <w:spacing w:before="0" w:after="60"/>
            </w:pPr>
            <w:r>
              <w:rPr>
                <w:rFonts w:ascii="微軟正黑體" w:hAnsi="微軟正黑體"/>
                <w:b/>
                <w:color w:val="1A365D"/>
                <w:sz w:val="21"/>
              </w:rPr>
              <w:t>【課程發展助理主任戰略倡議】</w:t>
              <w:br/>
            </w:r>
            <w:r>
              <w:rPr>
                <w:rFonts w:ascii="微軟正黑體" w:hAnsi="微軟正黑體"/>
                <w:color w:val="2D3748"/>
                <w:sz w:val="19"/>
              </w:rPr>
              <w:t>本報告旨在為校長室、教務會與學科組提供一套具備操作性的「PISA Curriculum Intelligence Framework」，從外部標竿對比、認知能力反推、校本評量審計到 P1–S6 縱向重構，提供 10 大關鍵議題矩陣與行動路徑。</w:t>
            </w:r>
          </w:p>
          <w:p>
            <w:pPr>
              <w:spacing w:before="40" w:after="60" w:line="300" w:lineRule="auto"/>
            </w:pPr>
            <w:r>
              <w:rPr>
                <w:rFonts w:ascii="微軟正黑體" w:hAnsi="微軟正黑體"/>
                <w:color w:val="2D3748"/>
                <w:sz w:val="19"/>
              </w:rPr>
              <w:t>核心策略倡議：校本評量告別單一均分，全面追蹤分佈與 P10/P90 離散度；將閱讀視為所有學科之基礎素養；在 AI 時代以 Q-V-R-E-R 思維五步法引導深度學習；構建 MTSS 多層級支援架構，落實「提升上限、守住底線」。</w:t>
            </w:r>
          </w:p>
        </w:tc>
      </w:tr>
    </w:tbl>
    <w:p>
      <w:pPr>
        <w:spacing w:before="0" w:after="80"/>
      </w:pPr>
    </w:p>
    <w:p>
      <w:pPr>
        <w:keepNext/>
        <w:spacing w:before="360" w:after="160"/>
      </w:pPr>
      <w:r>
        <w:rPr>
          <w:rFonts w:ascii="微軟正黑體" w:hAnsi="微軟正黑體"/>
          <w:b/>
          <w:color w:val="1A365D"/>
          <w:sz w:val="28"/>
        </w:rPr>
        <w:t>第一章：PISA 數據源體系檢索指南與量化研究方法學規範</w:t>
      </w:r>
    </w:p>
    <w:p>
      <w:pPr>
        <w:keepNext/>
        <w:spacing w:before="280" w:after="100"/>
      </w:pPr>
      <w:r>
        <w:rPr>
          <w:rFonts w:ascii="微軟正黑體" w:hAnsi="微軟正黑體"/>
          <w:b/>
          <w:color w:val="2B6CB0"/>
          <w:sz w:val="24"/>
        </w:rPr>
        <w:t>1.1 數據檢索的三個層級與政策語境對照</w:t>
      </w:r>
    </w:p>
    <w:p>
      <w:pPr>
        <w:spacing w:after="100" w:line="300" w:lineRule="auto"/>
      </w:pPr>
      <w:r>
        <w:rPr>
          <w:rFonts w:ascii="微軟正黑體" w:hAnsi="微軟正黑體"/>
          <w:i w:val="0"/>
          <w:color w:val="2D3748"/>
          <w:sz w:val="20"/>
        </w:rPr>
        <w:t>要落實真正證據導向（Evidence-based）的校本課程改革，科組長與管理團隊必須精準掌握 OECD 原始數據的架構層級，避免道聽途說或誤用未經加權的片面數據。研究體系應嚴格劃分為三個層級：</w:t>
      </w:r>
    </w:p>
    <w:tbl>
      <w:tblPr>
        <w:tblW w:type="auto" w:w="0"/>
        <w:jc w:val="center"/>
        <w:tblLayout w:type="fixed"/>
        <w:tblLook w:firstColumn="1" w:firstRow="1" w:lastColumn="0" w:lastRow="0" w:noHBand="0" w:noVBand="1" w:val="04A0"/>
        <w:tblBorders>
          <w:top w:val="single" w:sz="6" w:space="0" w:color="CBD5E0"/>
          <w:left w:val="none"/>
          <w:bottom w:val="single" w:sz="12" w:space="0" w:color="1A365D"/>
          <w:right w:val="none"/>
          <w:insideH w:val="single" w:sz="4" w:space="0" w:color="CBD5E0"/>
          <w:insideV w:val="none"/>
        </w:tblBorders>
      </w:tblPr>
      <w:tblGrid>
        <w:gridCol w:w="1872"/>
        <w:gridCol w:w="1872"/>
        <w:gridCol w:w="1872"/>
        <w:gridCol w:w="1872"/>
        <w:gridCol w:w="1872"/>
      </w:tblGrid>
      <w:tr>
        <w:trPr>
          <w:tblHeader/>
          <w:cantSplit/>
        </w:trPr>
        <w:tc>
          <w:tcPr>
            <w:tcW w:type="dxa" w:w="1872"/>
            <w:shd w:fill="1A365D"/>
            <w:tcMar>
              <w:top w:w="120" w:type="dxa"/>
              <w:left w:w="120" w:type="dxa"/>
              <w:bottom w:w="120" w:type="dxa"/>
              <w:right w:w="120" w:type="dxa"/>
            </w:tcMar>
          </w:tcPr>
          <w:p>
            <w:pPr>
              <w:spacing w:before="0" w:after="0"/>
              <w:jc w:val="center"/>
            </w:pPr>
            <w:r>
              <w:rPr>
                <w:rFonts w:ascii="微軟正黑體" w:hAnsi="微軟正黑體"/>
                <w:b/>
                <w:color w:val="FFFFFF"/>
                <w:sz w:val="18"/>
              </w:rPr>
              <w:t>資料層級</w:t>
            </w:r>
          </w:p>
        </w:tc>
        <w:tc>
          <w:tcPr>
            <w:tcW w:type="dxa" w:w="2592"/>
            <w:shd w:fill="1A365D"/>
            <w:tcMar>
              <w:top w:w="120" w:type="dxa"/>
              <w:left w:w="120" w:type="dxa"/>
              <w:bottom w:w="120" w:type="dxa"/>
              <w:right w:w="120" w:type="dxa"/>
            </w:tcMar>
          </w:tcPr>
          <w:p>
            <w:pPr>
              <w:spacing w:before="0" w:after="0"/>
              <w:jc w:val="center"/>
            </w:pPr>
            <w:r>
              <w:rPr>
                <w:rFonts w:ascii="微軟正黑體" w:hAnsi="微軟正黑體"/>
                <w:b/>
                <w:color w:val="FFFFFF"/>
                <w:sz w:val="18"/>
              </w:rPr>
              <w:t>核心資料庫 / 文件入口</w:t>
            </w:r>
          </w:p>
        </w:tc>
        <w:tc>
          <w:tcPr>
            <w:tcW w:type="dxa" w:w="2880"/>
            <w:shd w:fill="1A365D"/>
            <w:tcMar>
              <w:top w:w="120" w:type="dxa"/>
              <w:left w:w="120" w:type="dxa"/>
              <w:bottom w:w="120" w:type="dxa"/>
              <w:right w:w="120" w:type="dxa"/>
            </w:tcMar>
          </w:tcPr>
          <w:p>
            <w:pPr>
              <w:spacing w:before="0" w:after="0"/>
              <w:jc w:val="center"/>
            </w:pPr>
            <w:r>
              <w:rPr>
                <w:rFonts w:ascii="微軟正黑體" w:hAnsi="微軟正黑體"/>
                <w:b/>
                <w:color w:val="FFFFFF"/>
                <w:sz w:val="18"/>
              </w:rPr>
              <w:t>適用分析用途</w:t>
            </w:r>
          </w:p>
        </w:tc>
        <w:tc>
          <w:tcPr>
            <w:tcW w:type="dxa" w:w="1008"/>
            <w:shd w:fill="1A365D"/>
            <w:tcMar>
              <w:top w:w="120" w:type="dxa"/>
              <w:left w:w="120" w:type="dxa"/>
              <w:bottom w:w="120" w:type="dxa"/>
              <w:right w:w="120" w:type="dxa"/>
            </w:tcMar>
          </w:tcPr>
          <w:p>
            <w:pPr>
              <w:spacing w:before="0" w:after="0"/>
              <w:jc w:val="center"/>
            </w:pPr>
            <w:r>
              <w:rPr>
                <w:rFonts w:ascii="微軟正黑體" w:hAnsi="微軟正黑體"/>
                <w:b/>
                <w:color w:val="FFFFFF"/>
                <w:sz w:val="18"/>
              </w:rPr>
              <w:t>管理層優先度</w:t>
            </w:r>
          </w:p>
        </w:tc>
        <w:tc>
          <w:tcPr>
            <w:tcW w:type="dxa" w:w="1008"/>
            <w:shd w:fill="1A365D"/>
            <w:tcMar>
              <w:top w:w="120" w:type="dxa"/>
              <w:left w:w="120" w:type="dxa"/>
              <w:bottom w:w="120" w:type="dxa"/>
              <w:right w:w="120" w:type="dxa"/>
            </w:tcMar>
          </w:tcPr>
          <w:p>
            <w:pPr>
              <w:spacing w:before="0" w:after="0"/>
              <w:jc w:val="center"/>
            </w:pPr>
            <w:r>
              <w:rPr>
                <w:rFonts w:ascii="微軟正黑體" w:hAnsi="微軟正黑體"/>
                <w:b/>
                <w:color w:val="FFFFFF"/>
                <w:sz w:val="18"/>
              </w:rPr>
              <w:t>技術難度</w:t>
            </w:r>
          </w:p>
        </w:tc>
      </w:tr>
      <w:tr>
        <w:trPr>
          <w:cantSplit/>
        </w:trPr>
        <w:tc>
          <w:tcPr>
            <w:tcW w:type="dxa" w:w="1872"/>
            <w:shd w:fill="FFFFFF"/>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Level 1 政策摘要</w:t>
            </w:r>
          </w:p>
        </w:tc>
        <w:tc>
          <w:tcPr>
            <w:tcW w:type="dxa" w:w="259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OECD Macau Country Note</w:t>
              <w:br/>
              <w:t>OECD Education GPS - Macao</w:t>
            </w:r>
          </w:p>
        </w:tc>
        <w:tc>
          <w:tcPr>
            <w:tcW w:type="dxa" w:w="2880"/>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宏觀掌握澳門歷年趨勢、強弱項領域、公平指標、AI 與校園環境摘要</w:t>
            </w:r>
          </w:p>
        </w:tc>
        <w:tc>
          <w:tcPr>
            <w:tcW w:type="dxa" w:w="1008"/>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w:t>
            </w:r>
          </w:p>
        </w:tc>
        <w:tc>
          <w:tcPr>
            <w:tcW w:type="dxa" w:w="1008"/>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w:t>
              <w:br/>
              <w:t>（無需代碼）</w:t>
            </w:r>
          </w:p>
        </w:tc>
      </w:tr>
      <w:tr>
        <w:trPr>
          <w:cantSplit/>
        </w:trPr>
        <w:tc>
          <w:tcPr>
            <w:tcW w:type="dxa" w:w="1872"/>
            <w:shd w:fill="EDF2F7"/>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Level 2 跨國統計</w:t>
            </w:r>
          </w:p>
        </w:tc>
        <w:tc>
          <w:tcPr>
            <w:tcW w:type="dxa" w:w="2592"/>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OECD StatLink Excel Tables</w:t>
              <w:br/>
              <w:t>PISA 2025 Volume I-III 附表</w:t>
            </w:r>
          </w:p>
        </w:tc>
        <w:tc>
          <w:tcPr>
            <w:tcW w:type="dxa" w:w="2880"/>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進行東亞標竿經濟體（星、日、韓、台、港）之均分、分位數與標準差精確比較</w:t>
            </w:r>
          </w:p>
        </w:tc>
        <w:tc>
          <w:tcPr>
            <w:tcW w:type="dxa" w:w="1008"/>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w:t>
            </w:r>
          </w:p>
        </w:tc>
        <w:tc>
          <w:tcPr>
            <w:tcW w:type="dxa" w:w="1008"/>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w:t>
              <w:br/>
              <w:t>（表格檢索）</w:t>
            </w:r>
          </w:p>
        </w:tc>
      </w:tr>
      <w:tr>
        <w:trPr>
          <w:cantSplit/>
        </w:trPr>
        <w:tc>
          <w:tcPr>
            <w:tcW w:type="dxa" w:w="1872"/>
            <w:shd w:fill="FFFFFF"/>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Level 3 微觀數據</w:t>
            </w:r>
          </w:p>
        </w:tc>
        <w:tc>
          <w:tcPr>
            <w:tcW w:type="dxa" w:w="259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PISA 2025 Database (PUFs)</w:t>
              <w:br/>
              <w:t>Student/School/Teacher PUF</w:t>
            </w:r>
          </w:p>
        </w:tc>
        <w:tc>
          <w:tcPr>
            <w:tcW w:type="dxa" w:w="2880"/>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校本研究人員自行建立多層次模型（HLM）、調節效應分析、認知作答時間對比</w:t>
            </w:r>
          </w:p>
        </w:tc>
        <w:tc>
          <w:tcPr>
            <w:tcW w:type="dxa" w:w="1008"/>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w:t>
            </w:r>
          </w:p>
        </w:tc>
        <w:tc>
          <w:tcPr>
            <w:tcW w:type="dxa" w:w="1008"/>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w:t>
              <w:br/>
              <w:t>（需統計編程）</w:t>
            </w:r>
          </w:p>
        </w:tc>
      </w:tr>
    </w:tbl>
    <w:p>
      <w:pPr>
        <w:spacing w:before="0" w:after="120"/>
      </w:pPr>
    </w:p>
    <w:p>
      <w:pPr>
        <w:spacing w:after="100" w:line="300" w:lineRule="auto"/>
      </w:pPr>
      <w:r>
        <w:rPr>
          <w:rFonts w:ascii="微軟正黑體" w:hAnsi="微軟正黑體"/>
          <w:i w:val="0"/>
          <w:color w:val="2D3748"/>
          <w:sz w:val="20"/>
        </w:rPr>
        <w:t>在引用 Level 1 與 Level 2 資料時，必須緊扣澳門教育及青年發展局（DSEDJ）於 2026 年 9 月 8 日發布的官方政策解讀。教青局明確指出：澳門 PISA 2025 成果得益於長年推動的跨學科課程改革、智慧校園建設以及人工智能與編程教育普及。這為本校將 PISA 指標轉化為正規課程政策提供了直接的體制背書與政策順風。</w:t>
      </w:r>
    </w:p>
    <w:p>
      <w:pPr>
        <w:keepNext/>
        <w:spacing w:before="280" w:after="100"/>
      </w:pPr>
      <w:r>
        <w:rPr>
          <w:rFonts w:ascii="微軟正黑體" w:hAnsi="微軟正黑體"/>
          <w:b/>
          <w:color w:val="2B6CB0"/>
          <w:sz w:val="24"/>
        </w:rPr>
        <w:t>1.2 學校進行 PISA 微觀數據（PUFs）二次分析的方法學五大戒律</w:t>
      </w:r>
    </w:p>
    <w:p>
      <w:pPr>
        <w:spacing w:after="100" w:line="300" w:lineRule="auto"/>
      </w:pPr>
      <w:r>
        <w:rPr>
          <w:rFonts w:ascii="微軟正黑體" w:hAnsi="微軟正黑體"/>
          <w:i w:val="0"/>
          <w:color w:val="2D3748"/>
          <w:sz w:val="20"/>
        </w:rPr>
        <w:t>若本校研究團隊或科組長計劃下載 PISA Public Use Files（PUFs）針對特定題目、學生性別、家庭社經地位進行深度交叉分析，必須嚴格遵守 OECD 大規模國際評估（Large-Scale Assessment）的計量統計規範，切忌將 PUF 數據當作一般常態分佈樣本直接以 Excel 計算平均值或跑簡單線性迴歸。違背以下五大戒律將導致嚴重的估計偏誤與虛假顯著性：</w:t>
      </w:r>
    </w:p>
    <w:p>
      <w:pPr>
        <w:pStyle w:val="ListBullet"/>
        <w:spacing w:after="50" w:line="288" w:lineRule="auto"/>
      </w:pPr>
      <w:r>
        <w:rPr>
          <w:rFonts w:ascii="微軟正黑體" w:hAnsi="微軟正黑體"/>
          <w:b/>
          <w:color w:val="2D3748"/>
          <w:sz w:val="19"/>
        </w:rPr>
        <w:t>① 嚴禁忽視複雜抽樣設計：</w:t>
      </w:r>
      <w:r>
        <w:rPr>
          <w:rFonts w:ascii="微軟正黑體" w:hAnsi="微軟正黑體"/>
          <w:color w:val="2D3748"/>
          <w:sz w:val="19"/>
        </w:rPr>
        <w:t>PISA 採用兩階段分層抽樣（先抽學校，再在校內隨機抽取 15 歲學生），非簡單隨機抽樣。學生並非獨立同分佈，校內同質性顯著，必須納入集群效應（Clustering Effect）。</w:t>
      </w:r>
    </w:p>
    <w:p>
      <w:pPr>
        <w:pStyle w:val="ListBullet"/>
        <w:spacing w:after="50" w:line="288" w:lineRule="auto"/>
      </w:pPr>
      <w:r>
        <w:rPr>
          <w:rFonts w:ascii="微軟正黑體" w:hAnsi="微軟正黑體"/>
          <w:b/>
          <w:color w:val="2D3748"/>
          <w:sz w:val="19"/>
        </w:rPr>
        <w:t>② 嚴禁忽略學生權重（Student Weights）：</w:t>
      </w:r>
      <w:r>
        <w:rPr>
          <w:rFonts w:ascii="微軟正黑體" w:hAnsi="微軟正黑體"/>
          <w:color w:val="2D3748"/>
          <w:sz w:val="19"/>
        </w:rPr>
        <w:t>每位學生代表母體的機率不同。所有描述性統計與模型估算均須加權計算，必須強制使用最終學生權重變量（Final Student Weight: W_FSTUWT），否則將嚴重扭曲全澳真實母體估計值。</w:t>
      </w:r>
    </w:p>
    <w:p>
      <w:pPr>
        <w:pStyle w:val="ListBullet"/>
        <w:spacing w:after="50" w:line="288" w:lineRule="auto"/>
      </w:pPr>
      <w:r>
        <w:rPr>
          <w:rFonts w:ascii="微軟正黑體" w:hAnsi="微軟正黑體"/>
          <w:b/>
          <w:color w:val="2D3748"/>
          <w:sz w:val="19"/>
        </w:rPr>
        <w:t>③ 嚴格執行平衡重複抽樣（Fay's BRR）：</w:t>
      </w:r>
      <w:r>
        <w:rPr>
          <w:rFonts w:ascii="微軟正黑體" w:hAnsi="微軟正黑體"/>
          <w:color w:val="2D3748"/>
          <w:sz w:val="19"/>
        </w:rPr>
        <w:t>計算標準誤（Standard Errors）時不可採用常態公式，必須使用 OECD 提供的 80 個重複抽樣權重（Replicate Weights: W_FSTR1 至 W_FSTR80），並採用 Fay 調整之平衡重複抽樣法（Fay's Balanced Repeated Replication, BRR）以確保推論統計的可靠性。</w:t>
      </w:r>
    </w:p>
    <w:p>
      <w:pPr>
        <w:pStyle w:val="ListBullet"/>
        <w:spacing w:after="50" w:line="288" w:lineRule="auto"/>
      </w:pPr>
      <w:r>
        <w:rPr>
          <w:rFonts w:ascii="微軟正黑體" w:hAnsi="微軟正黑體"/>
          <w:b/>
          <w:color w:val="2D3748"/>
          <w:sz w:val="19"/>
        </w:rPr>
        <w:t>④ 嚴禁對單一合理值（PV）進行推論：</w:t>
      </w:r>
      <w:r>
        <w:rPr>
          <w:rFonts w:ascii="微軟正黑體" w:hAnsi="微軟正黑體"/>
          <w:color w:val="2D3748"/>
          <w:sz w:val="19"/>
        </w:rPr>
        <w:t>PISA 並非對每位學生進行全卷施測，而是採用矩陣抽樣（Matrix Sampling）結合項目反應理論（IRT），每位學生僅回答部分題目。學生成績並非單一確定分數，而是由 10 組合理值（Plausible Values: PV1 至 PV10）構成。嚴禁將 10 個 PV 直接取平均後當作因變量跑 OLS 迴歸！標準做法是分別對 10 組 PV 建立 10 次統計模型，再依照 Rubin's Rules 將參數與變異數合併計算。</w:t>
      </w:r>
    </w:p>
    <w:p>
      <w:pPr>
        <w:pStyle w:val="ListBullet"/>
        <w:spacing w:after="50" w:line="288" w:lineRule="auto"/>
      </w:pPr>
      <w:r>
        <w:rPr>
          <w:rFonts w:ascii="微軟正黑體" w:hAnsi="微軟正黑體"/>
          <w:b/>
          <w:color w:val="2D3748"/>
          <w:sz w:val="19"/>
        </w:rPr>
        <w:t>⑤ 規範計算工具與技術版本核驗：</w:t>
      </w:r>
      <w:r>
        <w:rPr>
          <w:rFonts w:ascii="微軟正黑體" w:hAnsi="微軟正黑體"/>
          <w:color w:val="2D3748"/>
          <w:sz w:val="19"/>
        </w:rPr>
        <w:t>建議校內數據分析團隊統一採用專門處理大規模評估的套件，例如 R 語言之 intsvy 或 edsurvey 套件、SAS 官方巨集或 SPSS 專用模組。需注意 PISA 2025 Technical Report 目前處於 Draft 階段，最終官方技術手冊預計於 2027 年定稿發布，研究中涉及的新指標需持續核對校正。</w:t>
      </w:r>
    </w:p>
    <w:p>
      <w:pPr>
        <w:keepNext/>
        <w:spacing w:before="360" w:after="160"/>
      </w:pPr>
      <w:r>
        <w:rPr>
          <w:rFonts w:ascii="微軟正黑體" w:hAnsi="微軟正黑體"/>
          <w:b/>
          <w:color w:val="1A365D"/>
          <w:sz w:val="28"/>
        </w:rPr>
        <w:t>第二章：學校 PISA 課程智慧架構（Curriculum Intelligence Framework）8 大維度</w:t>
      </w:r>
    </w:p>
    <w:p>
      <w:pPr>
        <w:spacing w:after="100" w:line="300" w:lineRule="auto"/>
      </w:pPr>
      <w:r>
        <w:rPr>
          <w:rFonts w:ascii="微軟正黑體" w:hAnsi="微軟正黑體"/>
          <w:i w:val="0"/>
          <w:color w:val="2D3748"/>
          <w:sz w:val="20"/>
        </w:rPr>
        <w:t>為了讓全體科組長與教師擺脫「只看排行榜」的狹隘視野，課程發展處特構建「學校 PISA 課程智慧架構（Curriculum Intelligence Framework）」。該架構涵蓋 8 個核心維度，將宏觀評估指標精準對接至微觀課堂與課程機制：</w:t>
      </w:r>
    </w:p>
    <w:tbl>
      <w:tblPr>
        <w:tblW w:type="auto" w:w="0"/>
        <w:jc w:val="center"/>
        <w:tblLayout w:type="fixed"/>
        <w:tblLook w:firstColumn="1" w:firstRow="1" w:lastColumn="0" w:lastRow="0" w:noHBand="0" w:noVBand="1" w:val="04A0"/>
        <w:tblBorders>
          <w:top w:val="single" w:sz="6" w:space="0" w:color="CBD5E0"/>
          <w:left w:val="none"/>
          <w:bottom w:val="single" w:sz="12" w:space="0" w:color="1A365D"/>
          <w:right w:val="none"/>
          <w:insideH w:val="single" w:sz="4" w:space="0" w:color="CBD5E0"/>
          <w:insideV w:val="none"/>
        </w:tblBorders>
      </w:tblPr>
      <w:tblGrid>
        <w:gridCol w:w="1872"/>
        <w:gridCol w:w="1872"/>
        <w:gridCol w:w="1872"/>
        <w:gridCol w:w="1872"/>
        <w:gridCol w:w="1872"/>
      </w:tblGrid>
      <w:tr>
        <w:trPr>
          <w:tblHeader/>
          <w:cantSplit/>
        </w:trPr>
        <w:tc>
          <w:tcPr>
            <w:tcW w:type="dxa" w:w="1584"/>
            <w:shd w:fill="1A365D"/>
            <w:tcMar>
              <w:top w:w="120" w:type="dxa"/>
              <w:left w:w="120" w:type="dxa"/>
              <w:bottom w:w="120" w:type="dxa"/>
              <w:right w:w="120" w:type="dxa"/>
            </w:tcMar>
          </w:tcPr>
          <w:p>
            <w:pPr>
              <w:spacing w:before="0" w:after="0"/>
              <w:jc w:val="center"/>
            </w:pPr>
            <w:r>
              <w:rPr>
                <w:rFonts w:ascii="微軟正黑體" w:hAnsi="微軟正黑體"/>
                <w:b/>
                <w:color w:val="FFFFFF"/>
                <w:sz w:val="18"/>
              </w:rPr>
              <w:t>分析維度</w:t>
            </w:r>
          </w:p>
        </w:tc>
        <w:tc>
          <w:tcPr>
            <w:tcW w:type="dxa" w:w="1872"/>
            <w:shd w:fill="1A365D"/>
            <w:tcMar>
              <w:top w:w="120" w:type="dxa"/>
              <w:left w:w="120" w:type="dxa"/>
              <w:bottom w:w="120" w:type="dxa"/>
              <w:right w:w="120" w:type="dxa"/>
            </w:tcMar>
          </w:tcPr>
          <w:p>
            <w:pPr>
              <w:spacing w:before="0" w:after="0"/>
              <w:jc w:val="center"/>
            </w:pPr>
            <w:r>
              <w:rPr>
                <w:rFonts w:ascii="微軟正黑體" w:hAnsi="微軟正黑體"/>
                <w:b/>
                <w:color w:val="FFFFFF"/>
                <w:sz w:val="18"/>
              </w:rPr>
              <w:t>核心追問</w:t>
            </w:r>
          </w:p>
        </w:tc>
        <w:tc>
          <w:tcPr>
            <w:tcW w:type="dxa" w:w="2016"/>
            <w:shd w:fill="1A365D"/>
            <w:tcMar>
              <w:top w:w="120" w:type="dxa"/>
              <w:left w:w="120" w:type="dxa"/>
              <w:bottom w:w="120" w:type="dxa"/>
              <w:right w:w="120" w:type="dxa"/>
            </w:tcMar>
          </w:tcPr>
          <w:p>
            <w:pPr>
              <w:spacing w:before="0" w:after="0"/>
              <w:jc w:val="center"/>
            </w:pPr>
            <w:r>
              <w:rPr>
                <w:rFonts w:ascii="微軟正黑體" w:hAnsi="微軟正黑體"/>
                <w:b/>
                <w:color w:val="FFFFFF"/>
                <w:sz w:val="18"/>
              </w:rPr>
              <w:t>PISA 2025 澳門關鍵數據</w:t>
            </w:r>
          </w:p>
        </w:tc>
        <w:tc>
          <w:tcPr>
            <w:tcW w:type="dxa" w:w="1872"/>
            <w:shd w:fill="1A365D"/>
            <w:tcMar>
              <w:top w:w="120" w:type="dxa"/>
              <w:left w:w="120" w:type="dxa"/>
              <w:bottom w:w="120" w:type="dxa"/>
              <w:right w:w="120" w:type="dxa"/>
            </w:tcMar>
          </w:tcPr>
          <w:p>
            <w:pPr>
              <w:spacing w:before="0" w:after="0"/>
              <w:jc w:val="center"/>
            </w:pPr>
            <w:r>
              <w:rPr>
                <w:rFonts w:ascii="微軟正黑體" w:hAnsi="微軟正黑體"/>
                <w:b/>
                <w:color w:val="FFFFFF"/>
                <w:sz w:val="18"/>
              </w:rPr>
              <w:t>OECD 參照基準</w:t>
            </w:r>
          </w:p>
        </w:tc>
        <w:tc>
          <w:tcPr>
            <w:tcW w:type="dxa" w:w="2016"/>
            <w:shd w:fill="1A365D"/>
            <w:tcMar>
              <w:top w:w="120" w:type="dxa"/>
              <w:left w:w="120" w:type="dxa"/>
              <w:bottom w:w="120" w:type="dxa"/>
              <w:right w:w="120" w:type="dxa"/>
            </w:tcMar>
          </w:tcPr>
          <w:p>
            <w:pPr>
              <w:spacing w:before="0" w:after="0"/>
              <w:jc w:val="center"/>
            </w:pPr>
            <w:r>
              <w:rPr>
                <w:rFonts w:ascii="微軟正黑體" w:hAnsi="微軟正黑體"/>
                <w:b/>
                <w:color w:val="FFFFFF"/>
                <w:sz w:val="18"/>
              </w:rPr>
              <w:t>對本校課程改革之具體作用</w:t>
            </w:r>
          </w:p>
        </w:tc>
      </w:tr>
      <w:tr>
        <w:trPr>
          <w:cantSplit/>
        </w:trPr>
        <w:tc>
          <w:tcPr>
            <w:tcW w:type="dxa" w:w="1584"/>
            <w:shd w:fill="FFFFFF"/>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① 學業成就</w:t>
              <w:br/>
              <w:t>(Achievement)</w:t>
            </w:r>
          </w:p>
        </w:tc>
        <w:tc>
          <w:tcPr>
            <w:tcW w:type="dxa" w:w="187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學生究竟學到了多少？各核心領域成效如何？</w:t>
            </w:r>
          </w:p>
        </w:tc>
        <w:tc>
          <w:tcPr>
            <w:tcW w:type="dxa" w:w="2016"/>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數學：549 分 (全球第3)</w:t>
              <w:br/>
              <w:t>科學：541 分 (全球第3)</w:t>
              <w:br/>
              <w:t>閱讀：501 分 (全球第5)</w:t>
              <w:br/>
              <w:t>運算解難(CPS)：572 (第1)</w:t>
            </w:r>
          </w:p>
        </w:tc>
        <w:tc>
          <w:tcPr>
            <w:tcW w:type="dxa" w:w="187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數學：463 分</w:t>
              <w:br/>
              <w:t>科學：482 分</w:t>
              <w:br/>
              <w:t>閱讀：461 分</w:t>
              <w:br/>
              <w:t>CPS：500 分</w:t>
            </w:r>
          </w:p>
        </w:tc>
        <w:tc>
          <w:tcPr>
            <w:tcW w:type="dxa" w:w="2016"/>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驗證現行數理與資訊科技課程效能，確保持續領先優勢，重新定位各領域資源配置比重。</w:t>
            </w:r>
          </w:p>
        </w:tc>
      </w:tr>
      <w:tr>
        <w:trPr>
          <w:cantSplit/>
        </w:trPr>
        <w:tc>
          <w:tcPr>
            <w:tcW w:type="dxa" w:w="1584"/>
            <w:shd w:fill="EDF2F7"/>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② 分佈結構</w:t>
              <w:br/>
              <w:t>(Distribution)</w:t>
            </w:r>
          </w:p>
        </w:tc>
        <w:tc>
          <w:tcPr>
            <w:tcW w:type="dxa" w:w="1872"/>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哪些學生在掉隊？高低分層分化程度如何？</w:t>
            </w:r>
          </w:p>
        </w:tc>
        <w:tc>
          <w:tcPr>
            <w:tcW w:type="dxa" w:w="2016"/>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科學低成就(&lt;L2)：7.9%</w:t>
              <w:br/>
              <w:t>科學頂尖(L5-6)：14.5%</w:t>
              <w:br/>
              <w:t>數學頂尖(L5-6)：約 29%</w:t>
              <w:br/>
              <w:t>CPS 頂尖(L5-6)：53.7%</w:t>
            </w:r>
          </w:p>
        </w:tc>
        <w:tc>
          <w:tcPr>
            <w:tcW w:type="dxa" w:w="1872"/>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科學 &lt;L2：24%</w:t>
              <w:br/>
              <w:t>科學 L5-6：7%</w:t>
              <w:br/>
              <w:t>數學 L5-6：9%</w:t>
              <w:br/>
              <w:t>CPS L5-6：約 15%</w:t>
            </w:r>
          </w:p>
        </w:tc>
        <w:tc>
          <w:tcPr>
            <w:tcW w:type="dxa" w:w="2016"/>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打破全校均分盲區，建立校內「P10/P90 離散度」動態追蹤機制，落實分層補底與高階拔尖。</w:t>
            </w:r>
          </w:p>
        </w:tc>
      </w:tr>
      <w:tr>
        <w:trPr>
          <w:cantSplit/>
        </w:trPr>
        <w:tc>
          <w:tcPr>
            <w:tcW w:type="dxa" w:w="1584"/>
            <w:shd w:fill="FFFFFF"/>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③ 核心素養</w:t>
              <w:br/>
              <w:t>(Competency)</w:t>
            </w:r>
          </w:p>
        </w:tc>
        <w:tc>
          <w:tcPr>
            <w:tcW w:type="dxa" w:w="187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學生是機械記憶還是具備真實情境解難能力？</w:t>
            </w:r>
          </w:p>
        </w:tc>
        <w:tc>
          <w:tcPr>
            <w:tcW w:type="dxa" w:w="2016"/>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數學建模、科學論證推理、系統分解與除錯表現強勁；長文本非連續閱讀稍弱</w:t>
            </w:r>
          </w:p>
        </w:tc>
        <w:tc>
          <w:tcPr>
            <w:tcW w:type="dxa" w:w="187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OECD 平均在情境建模與運算探索題型上表現普遍受限</w:t>
            </w:r>
          </w:p>
        </w:tc>
        <w:tc>
          <w:tcPr>
            <w:tcW w:type="dxa" w:w="2016"/>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重構學科命題範式：由「技巧公式刷題」全面轉向「情境解讀 → 數學建模 → 運算 → 評估反思」。</w:t>
            </w:r>
          </w:p>
        </w:tc>
      </w:tr>
      <w:tr>
        <w:trPr>
          <w:cantSplit/>
        </w:trPr>
        <w:tc>
          <w:tcPr>
            <w:tcW w:type="dxa" w:w="1584"/>
            <w:shd w:fill="EDF2F7"/>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④ 歷年趨勢</w:t>
              <w:br/>
              <w:t>(Trend)</w:t>
            </w:r>
          </w:p>
        </w:tc>
        <w:tc>
          <w:tcPr>
            <w:tcW w:type="dxa" w:w="1872"/>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學生表現是持續精進、高原停滯還是出現警訊？</w:t>
            </w:r>
          </w:p>
        </w:tc>
        <w:tc>
          <w:tcPr>
            <w:tcW w:type="dxa" w:w="2016"/>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科學：較22年 -2分 (持平)</w:t>
              <w:br/>
              <w:t>數學：較22年 -3分 (持平)</w:t>
              <w:br/>
              <w:t>閱讀：較22年 -9分 (顯著下滑)</w:t>
            </w:r>
          </w:p>
        </w:tc>
        <w:tc>
          <w:tcPr>
            <w:tcW w:type="dxa" w:w="1872"/>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OECD 歷年平均呈緩慢下降趨勢，疫後復甦普遍乏力</w:t>
            </w:r>
          </w:p>
        </w:tc>
        <w:tc>
          <w:tcPr>
            <w:tcW w:type="dxa" w:w="2016"/>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確立警示性重大課題：閱讀能力滑落非語文科單科之責，需全面啟動跨學科「學科素養閱讀」改革。</w:t>
            </w:r>
          </w:p>
        </w:tc>
      </w:tr>
      <w:tr>
        <w:trPr>
          <w:cantSplit/>
        </w:trPr>
        <w:tc>
          <w:tcPr>
            <w:tcW w:type="dxa" w:w="1584"/>
            <w:shd w:fill="FFFFFF"/>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⑤ 教育公平</w:t>
              <w:br/>
              <w:t>(Equity)</w:t>
            </w:r>
          </w:p>
        </w:tc>
        <w:tc>
          <w:tcPr>
            <w:tcW w:type="dxa" w:w="187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家庭社經背景（ESCS）在多大程度上決定成績？</w:t>
            </w:r>
          </w:p>
        </w:tc>
        <w:tc>
          <w:tcPr>
            <w:tcW w:type="dxa" w:w="2016"/>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ESCS 四分位科學差距：45 分</w:t>
              <w:br/>
              <w:t>ESCS 解釋變異：僅 4%</w:t>
              <w:br/>
              <w:t>學術韌性學生比例：約 19%</w:t>
            </w:r>
          </w:p>
        </w:tc>
        <w:tc>
          <w:tcPr>
            <w:tcW w:type="dxa" w:w="187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ESCS 四分位差：85 分</w:t>
              <w:br/>
              <w:t>ESCS 解釋變異：12%</w:t>
              <w:br/>
              <w:t>學術韌性學生：約 10%</w:t>
            </w:r>
          </w:p>
        </w:tc>
        <w:tc>
          <w:tcPr>
            <w:tcW w:type="dxa" w:w="2016"/>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借鑒學術韌性學生特質，強化弱勢學生校內資源傾斜，嚴防 2015-2025 年優勢與弱勢差距擴大趨勢。</w:t>
            </w:r>
          </w:p>
        </w:tc>
      </w:tr>
      <w:tr>
        <w:trPr>
          <w:cantSplit/>
        </w:trPr>
        <w:tc>
          <w:tcPr>
            <w:tcW w:type="dxa" w:w="1584"/>
            <w:shd w:fill="EDF2F7"/>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⑥ 學習投入</w:t>
              <w:br/>
              <w:t>(Engagement)</w:t>
            </w:r>
          </w:p>
        </w:tc>
        <w:tc>
          <w:tcPr>
            <w:tcW w:type="dxa" w:w="1872"/>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學生高分背後，是否真正熱愛學習與具備歸屬感？</w:t>
            </w:r>
          </w:p>
        </w:tc>
        <w:tc>
          <w:tcPr>
            <w:tcW w:type="dxa" w:w="2016"/>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喜歡在校學新事物：僅 58.1%</w:t>
              <w:br/>
              <w:t>學校歸屬感指數：偏低</w:t>
              <w:br/>
              <w:t>成長型思維指標：中等</w:t>
            </w:r>
          </w:p>
        </w:tc>
        <w:tc>
          <w:tcPr>
            <w:tcW w:type="dxa" w:w="1872"/>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喜歡學新事物：68.8%</w:t>
              <w:br/>
              <w:t>學校歸屬感指數：中等</w:t>
              <w:br/>
              <w:t>成長型思維指標：中高</w:t>
            </w:r>
          </w:p>
        </w:tc>
        <w:tc>
          <w:tcPr>
            <w:tcW w:type="dxa" w:w="2016"/>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診斷「應試高效但求知倦怠」的課堂文化，引入專案式探究學習（PBL），修復學生內在求知動機。</w:t>
            </w:r>
          </w:p>
        </w:tc>
      </w:tr>
      <w:tr>
        <w:trPr>
          <w:cantSplit/>
        </w:trPr>
        <w:tc>
          <w:tcPr>
            <w:tcW w:type="dxa" w:w="1584"/>
            <w:shd w:fill="FFFFFF"/>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⑦ 數碼與 AI</w:t>
              <w:br/>
              <w:t>(Digital &amp; AI)</w:t>
            </w:r>
          </w:p>
        </w:tc>
        <w:tc>
          <w:tcPr>
            <w:tcW w:type="dxa" w:w="187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科技工具是賦能高階思維還是造成認知外包？</w:t>
            </w:r>
          </w:p>
        </w:tc>
        <w:tc>
          <w:tcPr>
            <w:tcW w:type="dxa" w:w="2016"/>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每週用 AI Chatbot：67%</w:t>
              <w:br/>
              <w:t>AI 作業初稿：40%</w:t>
              <w:br/>
              <w:t>AI 文本摘要：41%</w:t>
              <w:br/>
              <w:t>課堂數位受干擾：13%</w:t>
            </w:r>
          </w:p>
        </w:tc>
        <w:tc>
          <w:tcPr>
            <w:tcW w:type="dxa" w:w="187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每週用 AI：46%</w:t>
              <w:br/>
              <w:t>AI 作業初稿：29%</w:t>
              <w:br/>
              <w:t>AI 文本摘要：30%</w:t>
              <w:br/>
              <w:t>課堂數位受干擾：28%</w:t>
            </w:r>
          </w:p>
        </w:tc>
        <w:tc>
          <w:tcPr>
            <w:tcW w:type="dxa" w:w="2016"/>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建立校本 AI 批判性使用守則（Q-V-R-E-R 模式）；警惕數位干擾導致科學成績重挫 24 分的嚴峻代價。</w:t>
            </w:r>
          </w:p>
        </w:tc>
      </w:tr>
      <w:tr>
        <w:trPr>
          <w:cantSplit/>
        </w:trPr>
        <w:tc>
          <w:tcPr>
            <w:tcW w:type="dxa" w:w="1584"/>
            <w:shd w:fill="EDF2F7"/>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⑧ 學校生態</w:t>
              <w:br/>
              <w:t>(Ecosystem)</w:t>
            </w:r>
          </w:p>
        </w:tc>
        <w:tc>
          <w:tcPr>
            <w:tcW w:type="dxa" w:w="1872"/>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課堂紀律、師生關係與家庭支持是否協同共振？</w:t>
            </w:r>
          </w:p>
        </w:tc>
        <w:tc>
          <w:tcPr>
            <w:tcW w:type="dxa" w:w="2016"/>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課堂紀律氛圍優於 OECD</w:t>
              <w:br/>
              <w:t>教師情感與學業支援：良好</w:t>
              <w:br/>
              <w:t>家庭學術督導與支持：偏低</w:t>
            </w:r>
          </w:p>
        </w:tc>
        <w:tc>
          <w:tcPr>
            <w:tcW w:type="dxa" w:w="1872"/>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課堂干擾現象普遍</w:t>
              <w:br/>
              <w:t>教師支援感知一般</w:t>
              <w:br/>
              <w:t>家庭課業溝通適中</w:t>
            </w:r>
          </w:p>
        </w:tc>
        <w:tc>
          <w:tcPr>
            <w:tcW w:type="dxa" w:w="2016"/>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深化家校共育機制，提升家長對青春期學生自主學習的心理與情感支援，營造支持性學術生態。</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7FAFC"/>
            <w:tcBorders>
              <w:top w:val="none"/>
              <w:left w:val="single" w:sz="28" w:space="0" w:color="1A365D"/>
              <w:bottom w:val="none"/>
              <w:right w:val="none"/>
            </w:tcBorders>
            <w:tcMar>
              <w:top w:w="140" w:type="dxa"/>
              <w:left w:w="200" w:type="dxa"/>
              <w:bottom w:w="140" w:type="dxa"/>
              <w:right w:w="180" w:type="dxa"/>
            </w:tcMar>
          </w:tcPr>
          <w:p>
            <w:pPr>
              <w:spacing w:before="0" w:after="60"/>
            </w:pPr>
            <w:r>
              <w:rPr>
                <w:rFonts w:ascii="微軟正黑體" w:hAnsi="微軟正黑體"/>
                <w:b/>
                <w:color w:val="1A365D"/>
                <w:sz w:val="21"/>
              </w:rPr>
              <w:t>【架構核心價值與決策指向】</w:t>
              <w:br/>
            </w:r>
            <w:r>
              <w:rPr>
                <w:rFonts w:ascii="微軟正黑體" w:hAnsi="微軟正黑體"/>
                <w:color w:val="2D3748"/>
                <w:sz w:val="19"/>
              </w:rPr>
              <w:t>管理層啟示：在 8 個維度中，對推動深層課程變革最為關鍵的往往不是代表總量成績的【① 學業成就】，而是【② 分佈結構】、【③ 核心素養】、【⑤ 教育公平】、【⑥ 學習投入】與【⑦ 數碼與 AI】。</w:t>
            </w:r>
          </w:p>
          <w:p>
            <w:pPr>
              <w:spacing w:before="40" w:after="60" w:line="300" w:lineRule="auto"/>
            </w:pPr>
            <w:r>
              <w:rPr>
                <w:rFonts w:ascii="微軟正黑體" w:hAnsi="微軟正黑體"/>
                <w:color w:val="2D3748"/>
                <w:sz w:val="19"/>
              </w:rPr>
              <w:t>若學校僅緊盯均分，將徹底掩蓋底層學生的脫節、思維能力的空洞化、學習動機的枯竭以及數位時代的認知退化。</w:t>
            </w:r>
          </w:p>
        </w:tc>
      </w:tr>
    </w:tbl>
    <w:p>
      <w:pPr>
        <w:spacing w:before="0" w:after="80"/>
      </w:pPr>
    </w:p>
    <w:p>
      <w:pPr>
        <w:keepNext/>
        <w:spacing w:before="360" w:after="160"/>
      </w:pPr>
      <w:r>
        <w:rPr>
          <w:rFonts w:ascii="微軟正黑體" w:hAnsi="微軟正黑體"/>
          <w:b/>
          <w:color w:val="1A365D"/>
          <w:sz w:val="28"/>
        </w:rPr>
        <w:t>第三章：澳門 PISA 2025 五大核心矛盾之深度剖析與校本反思</w:t>
      </w:r>
    </w:p>
    <w:p>
      <w:pPr>
        <w:spacing w:after="100" w:line="300" w:lineRule="auto"/>
      </w:pPr>
      <w:r>
        <w:rPr>
          <w:rFonts w:ascii="微軟正黑體" w:hAnsi="微軟正黑體"/>
          <w:i w:val="0"/>
          <w:color w:val="2D3748"/>
          <w:sz w:val="20"/>
        </w:rPr>
        <w:t>作為課程發展助理主任，我們絕不能被表面的耀眼均分所迷惑。深入解讀 OECD 數據庫與技術指標，澳門在本次 PISA 中浮現出五個極具張力與警示意味的「深層矛盾」。這五大矛盾恰恰指明了本校未來三至五年課程與課堂教學改革的著力點。</w:t>
      </w:r>
    </w:p>
    <w:p>
      <w:pPr>
        <w:keepNext/>
        <w:spacing w:before="280" w:after="100"/>
      </w:pPr>
      <w:r>
        <w:rPr>
          <w:rFonts w:ascii="微軟正黑體" w:hAnsi="微軟正黑體"/>
          <w:b/>
          <w:color w:val="2B6CB0"/>
          <w:sz w:val="24"/>
        </w:rPr>
        <w:t>3.1 矛盾一：高平均分掩蓋下的「兩極化分流」隱患</w:t>
      </w:r>
    </w:p>
    <w:p>
      <w:pPr>
        <w:spacing w:after="100" w:line="300" w:lineRule="auto"/>
      </w:pPr>
      <w:r>
        <w:rPr>
          <w:rFonts w:ascii="微軟正黑體" w:hAnsi="微軟正黑體"/>
          <w:i w:val="0"/>
          <w:color w:val="2D3748"/>
          <w:sz w:val="20"/>
        </w:rPr>
        <w:t>澳門在四大領域的平均分均居世界前列（數學 549、科學 541、閱讀 501、CPS 572）。然而，在總分的光環之下，學生成就的分佈特徵卻透露出結構性隱憂：</w:t>
      </w:r>
    </w:p>
    <w:p>
      <w:pPr>
        <w:pStyle w:val="ListBullet"/>
        <w:spacing w:after="50" w:line="288" w:lineRule="auto"/>
      </w:pPr>
      <w:r>
        <w:rPr>
          <w:rFonts w:ascii="微軟正黑體" w:hAnsi="微軟正黑體"/>
          <w:b/>
          <w:color w:val="2D3748"/>
          <w:sz w:val="19"/>
        </w:rPr>
        <w:t>成就層級分佈現狀：</w:t>
      </w:r>
      <w:r>
        <w:rPr>
          <w:rFonts w:ascii="微軟正黑體" w:hAnsi="微軟正黑體"/>
          <w:color w:val="2D3748"/>
          <w:sz w:val="19"/>
        </w:rPr>
        <w:t>澳門約 7.9% 的學生處於 Level 2 以下（未達基礎素養門檻），約 14.5% 達到 Level 5–6（頂尖水準）；在數學方面，達到 Level 5–6 的學生佔比高達約 29%。而在創新領域運算解難（CPS）中，更有高達 53.7% 的學生跨入 Level 5–6。</w:t>
      </w:r>
    </w:p>
    <w:p>
      <w:pPr>
        <w:pStyle w:val="ListBullet"/>
        <w:spacing w:after="50" w:line="288" w:lineRule="auto"/>
      </w:pPr>
      <w:r>
        <w:rPr>
          <w:rFonts w:ascii="微軟正黑體" w:hAnsi="微軟正黑體"/>
          <w:b/>
          <w:color w:val="2D3748"/>
          <w:sz w:val="19"/>
        </w:rPr>
        <w:t>離散度擴大警訊：</w:t>
      </w:r>
      <w:r>
        <w:rPr>
          <w:rFonts w:ascii="微軟正黑體" w:hAnsi="微軟正黑體"/>
          <w:color w:val="2D3748"/>
          <w:sz w:val="19"/>
        </w:rPr>
        <w:t>2022 至 2025 年間，全澳數學最低 10%（P10）與最高 10%（P90）的差距出現擴大趨勢。這意味著在頂尖學生不斷向上突破的同時，底層學生的學習落差並未縮小，甚至正在被逐漸拉大。</w:t>
      </w:r>
    </w:p>
    <w:p>
      <w:pPr>
        <w:pStyle w:val="ListBullet"/>
        <w:spacing w:after="50" w:line="288" w:lineRule="auto"/>
      </w:pPr>
      <w:r>
        <w:rPr>
          <w:rFonts w:ascii="微軟正黑體" w:hAnsi="微軟正黑體"/>
          <w:b/>
          <w:color w:val="2D3748"/>
          <w:sz w:val="19"/>
        </w:rPr>
        <w:t>校內管理層反思：</w:t>
      </w:r>
      <w:r>
        <w:rPr>
          <w:rFonts w:ascii="微軟正黑體" w:hAnsi="微軟正黑體"/>
          <w:color w:val="2D3748"/>
          <w:sz w:val="19"/>
        </w:rPr>
        <w:t>長期以來，學校常態評量普遍依賴「班平均分 → 年級平均分 → 全校平均分」的單一線性指標。這種「均值思維（The Flaw of Averages）」是極其危險的遮羞布：一個班級平均分 75 分，可能由「高分 95 與低分 55 的極端分化」構成，也可能由「全員 70-80 分的均質狀態」構成。兩者所需的教學介入策略截然不同。</w:t>
      </w:r>
    </w:p>
    <w:tbl>
      <w:tblPr>
        <w:tblW w:type="auto" w:w="0"/>
        <w:jc w:val="center"/>
        <w:tblLayout w:type="fixed"/>
        <w:tblLook w:firstColumn="1" w:firstRow="1" w:lastColumn="0" w:lastRow="0" w:noHBand="0" w:noVBand="1" w:val="04A0"/>
      </w:tblPr>
      <w:tblGrid>
        <w:gridCol w:w="9360"/>
      </w:tblGrid>
      <w:tr>
        <w:tc>
          <w:tcPr>
            <w:tcW w:type="dxa" w:w="9360"/>
            <w:shd w:fill="F7FAFC"/>
            <w:tcBorders>
              <w:top w:val="none"/>
              <w:left w:val="single" w:sz="28" w:space="0" w:color="1A365D"/>
              <w:bottom w:val="none"/>
              <w:right w:val="none"/>
            </w:tcBorders>
            <w:tcMar>
              <w:top w:w="140" w:type="dxa"/>
              <w:left w:w="200" w:type="dxa"/>
              <w:bottom w:w="140" w:type="dxa"/>
              <w:right w:w="180" w:type="dxa"/>
            </w:tcMar>
          </w:tcPr>
          <w:p>
            <w:pPr>
              <w:spacing w:before="0" w:after="60"/>
            </w:pPr>
            <w:r>
              <w:rPr>
                <w:rFonts w:ascii="微軟正黑體" w:hAnsi="微軟正黑體"/>
                <w:b/>
                <w:color w:val="1A365D"/>
                <w:sz w:val="21"/>
              </w:rPr>
              <w:t>【管理層反思：從均值看板到分佈看板】</w:t>
              <w:br/>
            </w:r>
            <w:r>
              <w:rPr>
                <w:rFonts w:ascii="微軟正黑體" w:hAnsi="微軟正黑體"/>
                <w:color w:val="2D3748"/>
                <w:sz w:val="19"/>
              </w:rPr>
              <w:t>改革行動：學校教學評量儀表板（Assessment Dashboard）必須徹底告別「單一平均分考核」，全面升級為「四維分佈評量法」：</w:t>
            </w:r>
          </w:p>
          <w:p>
            <w:pPr>
              <w:spacing w:before="40" w:after="60" w:line="300" w:lineRule="auto"/>
            </w:pPr>
            <w:r>
              <w:rPr>
                <w:rFonts w:ascii="微軟正黑體" w:hAnsi="微軟正黑體"/>
                <w:color w:val="2D3748"/>
                <w:sz w:val="19"/>
              </w:rPr>
              <w:t>① 嚴格監控低成就學生（Level &lt;2 / 校內後 20%）比例變化；</w:t>
            </w:r>
          </w:p>
          <w:p>
            <w:pPr>
              <w:spacing w:before="40" w:after="60" w:line="300" w:lineRule="auto"/>
            </w:pPr>
            <w:r>
              <w:rPr>
                <w:rFonts w:ascii="微軟正黑體" w:hAnsi="微軟正黑體"/>
                <w:color w:val="2D3748"/>
                <w:sz w:val="19"/>
              </w:rPr>
              <w:t>② 追蹤頂尖優異學生（Level 5–6 / 校內前 20%）的增長曲線；</w:t>
            </w:r>
          </w:p>
          <w:p>
            <w:pPr>
              <w:spacing w:before="40" w:after="60" w:line="300" w:lineRule="auto"/>
            </w:pPr>
            <w:r>
              <w:rPr>
                <w:rFonts w:ascii="微軟正黑體" w:hAnsi="微軟正黑體"/>
                <w:color w:val="2D3748"/>
                <w:sz w:val="19"/>
              </w:rPr>
              <w:t>③ 計算並鎖定每學期段考與期末考的 P10 / P90 離散度差距；</w:t>
            </w:r>
          </w:p>
          <w:p>
            <w:pPr>
              <w:spacing w:before="40" w:after="60" w:line="300" w:lineRule="auto"/>
            </w:pPr>
            <w:r>
              <w:rPr>
                <w:rFonts w:ascii="微軟正黑體" w:hAnsi="微軟正黑體"/>
                <w:color w:val="2D3748"/>
                <w:sz w:val="19"/>
              </w:rPr>
              <w:t>④ 建立「底線防跌、天花板拔尖」的雙向質量保證機制。</w:t>
            </w:r>
          </w:p>
        </w:tc>
      </w:tr>
    </w:tbl>
    <w:p>
      <w:pPr>
        <w:spacing w:before="0" w:after="80"/>
      </w:pPr>
    </w:p>
    <w:p>
      <w:pPr>
        <w:keepNext/>
        <w:spacing w:before="280" w:after="100"/>
      </w:pPr>
      <w:r>
        <w:rPr>
          <w:rFonts w:ascii="微軟正黑體" w:hAnsi="微軟正黑體"/>
          <w:b/>
          <w:color w:val="2B6CB0"/>
          <w:sz w:val="24"/>
        </w:rPr>
        <w:t>3.2 矛盾二：數理高光 vs 閱讀滑落（-9分）——學科閱讀素養的警鐘</w:t>
      </w:r>
    </w:p>
    <w:p>
      <w:pPr>
        <w:spacing w:after="100" w:line="300" w:lineRule="auto"/>
      </w:pPr>
      <w:r>
        <w:rPr>
          <w:rFonts w:ascii="微軟正黑體" w:hAnsi="微軟正黑體"/>
          <w:i w:val="0"/>
          <w:color w:val="2D3748"/>
          <w:sz w:val="20"/>
        </w:rPr>
        <w:t>2022 至 2025 年趨勢分析中，最值得課程發展團隊警醒的數據是領域間的顯著分化：</w:t>
      </w:r>
    </w:p>
    <w:p>
      <w:pPr>
        <w:pStyle w:val="ListBullet"/>
        <w:spacing w:after="50" w:line="288" w:lineRule="auto"/>
      </w:pPr>
      <w:r>
        <w:rPr>
          <w:rFonts w:ascii="微軟正黑體" w:hAnsi="微軟正黑體"/>
          <w:b/>
          <w:color w:val="2D3748"/>
          <w:sz w:val="19"/>
        </w:rPr>
        <w:t>領域趨勢對比：</w:t>
      </w:r>
      <w:r>
        <w:rPr>
          <w:rFonts w:ascii="微軟正黑體" w:hAnsi="微軟正黑體"/>
          <w:color w:val="2D3748"/>
          <w:sz w:val="19"/>
        </w:rPr>
        <w:t>科學微降 2 分（無統計顯著差異），數學微降 3 分（無統計顯著差異），而閱讀素養顯著下降 9 分（由 510 分驟降至 501 分）。</w:t>
      </w:r>
    </w:p>
    <w:p>
      <w:pPr>
        <w:pStyle w:val="ListBullet"/>
        <w:spacing w:after="50" w:line="288" w:lineRule="auto"/>
      </w:pPr>
      <w:r>
        <w:rPr>
          <w:rFonts w:ascii="微軟正黑體" w:hAnsi="微軟正黑體"/>
          <w:b/>
          <w:color w:val="2D3748"/>
          <w:sz w:val="19"/>
        </w:rPr>
        <w:t>破解學科分割迷思：</w:t>
      </w:r>
      <w:r>
        <w:rPr>
          <w:rFonts w:ascii="微軟正黑體" w:hAnsi="微軟正黑體"/>
          <w:color w:val="2D3748"/>
          <w:sz w:val="19"/>
        </w:rPr>
        <w:t>學校傳統觀念普遍存在嚴重誤區，將閱讀成績下滑單純歸咎為「中文科與英文科的責任」。然而，PISA 的閱讀評估本質上是跨情境、跨媒介的認知素養，涉及長文本解碼、非連續文本（圖表、數據、示意圖）比對、多來源資訊整合及反思批判。</w:t>
      </w:r>
    </w:p>
    <w:p>
      <w:pPr>
        <w:pStyle w:val="ListBullet"/>
        <w:spacing w:after="50" w:line="288" w:lineRule="auto"/>
      </w:pPr>
      <w:r>
        <w:rPr>
          <w:rFonts w:ascii="微軟正黑體" w:hAnsi="微軟正黑體"/>
          <w:b/>
          <w:color w:val="2D3748"/>
          <w:sz w:val="19"/>
        </w:rPr>
        <w:t>對數學與科學課程的致命衝擊：</w:t>
      </w:r>
      <w:r>
        <w:rPr>
          <w:rFonts w:ascii="微軟正黑體" w:hAnsi="微軟正黑體"/>
          <w:color w:val="2D3748"/>
          <w:sz w:val="19"/>
        </w:rPr>
        <w:t>高階數理與運算解難高度依賴「學科閱讀素養（Disciplinary Literacy）」。現代 PISA 數學與科學試題極少出現單純的算式計算，均以長篇真實生活情境包裝。學生若無法讀懂長題幹、無法從冗餘資訊中篩選關鍵變量、無法理解圖表與文本的映射關係、無法用清晰語言解釋自己的推理過程（Claim-Evidence-Reasoning），數學建模將無從談起。</w:t>
      </w:r>
    </w:p>
    <w:tbl>
      <w:tblPr>
        <w:tblW w:type="auto" w:w="0"/>
        <w:jc w:val="center"/>
        <w:tblLayout w:type="fixed"/>
        <w:tblLook w:firstColumn="1" w:firstRow="1" w:lastColumn="0" w:lastRow="0" w:noHBand="0" w:noVBand="1" w:val="04A0"/>
      </w:tblPr>
      <w:tblGrid>
        <w:gridCol w:w="9360"/>
      </w:tblGrid>
      <w:tr>
        <w:tc>
          <w:tcPr>
            <w:tcW w:type="dxa" w:w="9360"/>
            <w:shd w:fill="FFF5F5"/>
            <w:tcBorders>
              <w:top w:val="none"/>
              <w:left w:val="single" w:sz="28" w:space="0" w:color="C53030"/>
              <w:bottom w:val="none"/>
              <w:right w:val="none"/>
            </w:tcBorders>
            <w:tcMar>
              <w:top w:w="140" w:type="dxa"/>
              <w:left w:w="200" w:type="dxa"/>
              <w:bottom w:w="140" w:type="dxa"/>
              <w:right w:w="180" w:type="dxa"/>
            </w:tcMar>
          </w:tcPr>
          <w:p>
            <w:pPr>
              <w:spacing w:before="0" w:after="60"/>
            </w:pPr>
            <w:r>
              <w:rPr>
                <w:rFonts w:ascii="微軟正黑體" w:hAnsi="微軟正黑體"/>
                <w:b/>
                <w:color w:val="C53030"/>
                <w:sz w:val="21"/>
              </w:rPr>
              <w:t>【學科素養轉向：數學課不是只算算術】</w:t>
              <w:br/>
            </w:r>
            <w:r>
              <w:rPr>
                <w:rFonts w:ascii="微軟正黑體" w:hAnsi="微軟正黑體"/>
                <w:color w:val="2D3748"/>
                <w:sz w:val="19"/>
              </w:rPr>
              <w:t>數學科課程範式轉型倡議：本校數學科必須徹底擺脫「公式講解 → 典型例題 → 機械刷題」的舊路徑，全面推動六階高階認知循環：</w:t>
            </w:r>
          </w:p>
          <w:p>
            <w:pPr>
              <w:spacing w:before="40" w:after="60" w:line="300" w:lineRule="auto"/>
            </w:pPr>
            <w:r>
              <w:rPr>
                <w:rFonts w:ascii="微軟正黑體" w:hAnsi="微軟正黑體"/>
                <w:color w:val="2D3748"/>
                <w:sz w:val="19"/>
              </w:rPr>
              <w:t>【情境解讀】→【資訊提取與過濾】→【數學建模】→【邏輯推理】→【符號運算】→【結果解釋與現實評估】。</w:t>
            </w:r>
          </w:p>
          <w:p>
            <w:pPr>
              <w:spacing w:before="40" w:after="60" w:line="300" w:lineRule="auto"/>
            </w:pPr>
            <w:r>
              <w:rPr>
                <w:rFonts w:ascii="微軟正黑體" w:hAnsi="微軟正黑體"/>
                <w:color w:val="2D3748"/>
                <w:sz w:val="19"/>
              </w:rPr>
              <w:t>將閱讀、理解、建模與反思深度鑲嵌於每一次單元測驗與日常課堂中，落實「全員學科閱讀（Reading Across the Curriculum）」理念。</w:t>
            </w:r>
          </w:p>
        </w:tc>
      </w:tr>
    </w:tbl>
    <w:p>
      <w:pPr>
        <w:spacing w:before="0" w:after="80"/>
      </w:pPr>
    </w:p>
    <w:p>
      <w:pPr>
        <w:keepNext/>
        <w:spacing w:before="280" w:after="100"/>
      </w:pPr>
      <w:r>
        <w:rPr>
          <w:rFonts w:ascii="微軟正黑體" w:hAnsi="微軟正黑體"/>
          <w:b/>
          <w:color w:val="2B6CB0"/>
          <w:sz w:val="24"/>
        </w:rPr>
        <w:t>3.3 矛盾三：卓越公平下的「底線拉大」危機——提升上限而不拉大下限</w:t>
      </w:r>
    </w:p>
    <w:p>
      <w:pPr>
        <w:spacing w:after="100" w:line="300" w:lineRule="auto"/>
      </w:pPr>
      <w:r>
        <w:rPr>
          <w:rFonts w:ascii="微軟正黑體" w:hAnsi="微軟正黑體"/>
          <w:i w:val="0"/>
          <w:color w:val="2D3748"/>
          <w:sz w:val="20"/>
        </w:rPr>
        <w:t>澳門在 PISA 教育公平（Equity）領域一直被 OECD 譽為全球典範：</w:t>
      </w:r>
    </w:p>
    <w:p>
      <w:pPr>
        <w:pStyle w:val="ListBullet"/>
        <w:spacing w:after="50" w:line="288" w:lineRule="auto"/>
      </w:pPr>
      <w:r>
        <w:rPr>
          <w:rFonts w:ascii="微軟正黑體" w:hAnsi="微軟正黑體"/>
          <w:b/>
          <w:color w:val="2D3748"/>
          <w:sz w:val="19"/>
        </w:rPr>
        <w:t>全球領先的公平性指標：</w:t>
      </w:r>
      <w:r>
        <w:rPr>
          <w:rFonts w:ascii="微軟正黑體" w:hAnsi="微軟正黑體"/>
          <w:color w:val="2D3748"/>
          <w:sz w:val="19"/>
        </w:rPr>
        <w:t>澳門最優勢（Top 25% ESCS）與最弱勢（Bottom 25% ESCS）學生的科學差距僅約 45 分，遠低於 OECD 平均的 85 分；家庭社經背景僅解釋澳門約 4% 的科學成績變異（OECD 平均約 12%）；全澳約 19% 的弱勢家庭學生在科學領域突破逆境，進入全澳前四分之一的高分群，展現出強大的「學術韌性（Academic Resilience）」。</w:t>
      </w:r>
    </w:p>
    <w:p>
      <w:pPr>
        <w:pStyle w:val="ListBullet"/>
        <w:spacing w:after="50" w:line="288" w:lineRule="auto"/>
      </w:pPr>
      <w:r>
        <w:rPr>
          <w:rFonts w:ascii="微軟正黑體" w:hAnsi="微軟正黑體"/>
          <w:b/>
          <w:color w:val="2D3748"/>
          <w:sz w:val="19"/>
        </w:rPr>
        <w:t>暗流湧動的差距擴大：</w:t>
      </w:r>
      <w:r>
        <w:rPr>
          <w:rFonts w:ascii="微軟正黑體" w:hAnsi="微軟正黑體"/>
          <w:color w:val="2D3748"/>
          <w:sz w:val="19"/>
        </w:rPr>
        <w:t>從 2015 至 2025 年的十年間，澳門最優勢與最弱勢群體的科學差距呈現微幅擴大；而 2022 至 2025 年數學高低分位數差距進一步拉開。這表明，在推動課程加深加廣、引入現代前沿科技（如編程與 AI）的過程中，文化資本與家庭支持更充足的學生獲益速度明顯快於弱勢學生，公平底色面臨侵蝕。</w:t>
      </w:r>
    </w:p>
    <w:tbl>
      <w:tblPr>
        <w:tblW w:type="auto" w:w="0"/>
        <w:jc w:val="center"/>
        <w:tblLayout w:type="fixed"/>
        <w:tblLook w:firstColumn="1" w:firstRow="1" w:lastColumn="0" w:lastRow="0" w:noHBand="0" w:noVBand="1" w:val="04A0"/>
      </w:tblPr>
      <w:tblGrid>
        <w:gridCol w:w="9360"/>
      </w:tblGrid>
      <w:tr>
        <w:tc>
          <w:tcPr>
            <w:tcW w:type="dxa" w:w="9360"/>
            <w:shd w:fill="F7FAFC"/>
            <w:tcBorders>
              <w:top w:val="none"/>
              <w:left w:val="single" w:sz="28" w:space="0" w:color="1A365D"/>
              <w:bottom w:val="none"/>
              <w:right w:val="none"/>
            </w:tcBorders>
            <w:tcMar>
              <w:top w:w="140" w:type="dxa"/>
              <w:left w:w="200" w:type="dxa"/>
              <w:bottom w:w="140" w:type="dxa"/>
              <w:right w:w="180" w:type="dxa"/>
            </w:tcMar>
          </w:tcPr>
          <w:p>
            <w:pPr>
              <w:spacing w:before="0" w:after="60"/>
            </w:pPr>
            <w:r>
              <w:rPr>
                <w:rFonts w:ascii="微軟正黑體" w:hAnsi="微軟正黑體"/>
                <w:b/>
                <w:color w:val="1A365D"/>
                <w:sz w:val="21"/>
              </w:rPr>
              <w:t>【核心戰略命題：提升上限，守住底線】</w:t>
              <w:br/>
            </w:r>
            <w:r>
              <w:rPr>
                <w:rFonts w:ascii="微軟正黑體" w:hAnsi="微軟正黑體"/>
                <w:color w:val="2D3748"/>
                <w:sz w:val="19"/>
              </w:rPr>
              <w:t>核心戰略命題：本校課程改革絕不能重蹈「為了追求拔尖而犧牲弱勢」或「為了遷就後進而拉低學術標準」的兩難泥淖。</w:t>
            </w:r>
          </w:p>
          <w:p>
            <w:pPr>
              <w:spacing w:before="40" w:after="60" w:line="300" w:lineRule="auto"/>
            </w:pPr>
            <w:r>
              <w:rPr>
                <w:rFonts w:ascii="微軟正黑體" w:hAnsi="微軟正黑體"/>
                <w:color w:val="2D3748"/>
                <w:sz w:val="19"/>
              </w:rPr>
              <w:t>我們未來的核心課程發展 KPI 必須定為：『如何全力提升學術上限（拔尖），同時守住且墊高學術下限（保底）？』</w:t>
            </w:r>
          </w:p>
          <w:p>
            <w:pPr>
              <w:spacing w:before="40" w:after="60" w:line="300" w:lineRule="auto"/>
            </w:pPr>
            <w:r>
              <w:rPr>
                <w:rFonts w:ascii="微軟正黑體" w:hAnsi="微軟正黑體"/>
                <w:color w:val="2D3748"/>
                <w:sz w:val="19"/>
              </w:rPr>
              <w:t>具體抓手在於提煉那 19%「學術韌性學生」的共性特質：高自我效能感、堅定目標感、高專注度課堂參與，並將這些非認知心理資本結構化融入日常班級經營與輔導體系。</w:t>
            </w:r>
          </w:p>
        </w:tc>
      </w:tr>
    </w:tbl>
    <w:p>
      <w:pPr>
        <w:spacing w:before="0" w:after="80"/>
      </w:pPr>
    </w:p>
    <w:p>
      <w:pPr>
        <w:keepNext/>
        <w:spacing w:before="280" w:after="100"/>
      </w:pPr>
      <w:r>
        <w:rPr>
          <w:rFonts w:ascii="微軟正黑體" w:hAnsi="微軟正黑體"/>
          <w:b/>
          <w:color w:val="2B6CB0"/>
          <w:sz w:val="24"/>
        </w:rPr>
        <w:t>3.4 矛盾四：「高成就 × 低投入」的東亞學習文化死結</w:t>
      </w:r>
    </w:p>
    <w:p>
      <w:pPr>
        <w:spacing w:after="100" w:line="300" w:lineRule="auto"/>
      </w:pPr>
      <w:r>
        <w:rPr>
          <w:rFonts w:ascii="微軟正黑體" w:hAnsi="微軟正黑體"/>
          <w:i w:val="0"/>
          <w:color w:val="2D3748"/>
          <w:sz w:val="20"/>
        </w:rPr>
        <w:t>這可能是本次 PISA 數據對學校管理層最震撼、最需深思的反差指標：</w:t>
      </w:r>
    </w:p>
    <w:p>
      <w:pPr>
        <w:pStyle w:val="ListBullet"/>
        <w:spacing w:after="50" w:line="288" w:lineRule="auto"/>
      </w:pPr>
      <w:r>
        <w:rPr>
          <w:rFonts w:ascii="微軟正黑體" w:hAnsi="微軟正黑體"/>
          <w:b/>
          <w:color w:val="2D3748"/>
          <w:sz w:val="19"/>
        </w:rPr>
        <w:t>數據實證反差：</w:t>
      </w:r>
      <w:r>
        <w:rPr>
          <w:rFonts w:ascii="微軟正黑體" w:hAnsi="微軟正黑體"/>
          <w:color w:val="2D3748"/>
          <w:sz w:val="19"/>
        </w:rPr>
        <w:t>澳門僅約 58.1% 的 15 歲學生表示「喜歡在學校學習新事物」，而 OECD 總體平均高達 68.8%（落後 OECD 逾 10 個百分點）；與此同時，澳門學生的學校歸屬感（Sense of School Belonging）與感知到的家庭學業支持亦處於相對弱勢水平。</w:t>
      </w:r>
    </w:p>
    <w:p>
      <w:pPr>
        <w:pStyle w:val="ListBullet"/>
        <w:spacing w:after="50" w:line="288" w:lineRule="auto"/>
      </w:pPr>
      <w:r>
        <w:rPr>
          <w:rFonts w:ascii="微軟正黑體" w:hAnsi="微軟正黑體"/>
          <w:b/>
          <w:color w:val="2D3748"/>
          <w:sz w:val="19"/>
        </w:rPr>
        <w:t>深層文化病灶：</w:t>
      </w:r>
      <w:r>
        <w:rPr>
          <w:rFonts w:ascii="微軟正黑體" w:hAnsi="微軟正黑體"/>
          <w:color w:val="2D3748"/>
          <w:sz w:val="19"/>
        </w:rPr>
        <w:t>澳門學生高度擅長在結構化高壓環境下完成重複訓練與應試任務，但在離開強制監督後，往往缺乏內在求知慾望，甚至對課堂學習產生情感疏離。學生可能只是「被動高分的考試機器」，而非「熱愛探索的主動學習者」。</w:t>
      </w:r>
    </w:p>
    <w:p>
      <w:pPr>
        <w:pStyle w:val="ListBullet"/>
        <w:spacing w:after="50" w:line="288" w:lineRule="auto"/>
      </w:pPr>
      <w:r>
        <w:rPr>
          <w:rFonts w:ascii="微軟正黑體" w:hAnsi="微軟正黑體"/>
          <w:b/>
          <w:color w:val="2D3748"/>
          <w:sz w:val="19"/>
        </w:rPr>
        <w:t>對課程發展的長期威脅：</w:t>
      </w:r>
      <w:r>
        <w:rPr>
          <w:rFonts w:ascii="微軟正黑體" w:hAnsi="微軟正黑體"/>
          <w:color w:val="2D3748"/>
          <w:sz w:val="19"/>
        </w:rPr>
        <w:t>一旦升入高等院校或步入職場，面對無標準答案、高度模糊的真實複雜挑戰時，缺乏內在動機與「成長型思維（Growth Mindset）」的學生將迅速失去航向。若課程改革只盯著測驗分數，我們將在課堂中培養出一批「高分卻厭學」的脆弱青年。</w:t>
      </w:r>
    </w:p>
    <w:tbl>
      <w:tblPr>
        <w:tblW w:type="auto" w:w="0"/>
        <w:jc w:val="center"/>
        <w:tblLayout w:type="fixed"/>
        <w:tblLook w:firstColumn="1" w:firstRow="1" w:lastColumn="0" w:lastRow="0" w:noHBand="0" w:noVBand="1" w:val="04A0"/>
      </w:tblPr>
      <w:tblGrid>
        <w:gridCol w:w="9360"/>
      </w:tblGrid>
      <w:tr>
        <w:tc>
          <w:tcPr>
            <w:tcW w:type="dxa" w:w="9360"/>
            <w:shd w:fill="FFF5F5"/>
            <w:tcBorders>
              <w:top w:val="none"/>
              <w:left w:val="single" w:sz="28" w:space="0" w:color="C53030"/>
              <w:bottom w:val="none"/>
              <w:right w:val="none"/>
            </w:tcBorders>
            <w:tcMar>
              <w:top w:w="140" w:type="dxa"/>
              <w:left w:w="200" w:type="dxa"/>
              <w:bottom w:w="140" w:type="dxa"/>
              <w:right w:w="180" w:type="dxa"/>
            </w:tcMar>
          </w:tcPr>
          <w:p>
            <w:pPr>
              <w:spacing w:before="0" w:after="60"/>
            </w:pPr>
            <w:r>
              <w:rPr>
                <w:rFonts w:ascii="微軟正黑體" w:hAnsi="微軟正黑體"/>
                <w:b/>
                <w:color w:val="C53030"/>
                <w:sz w:val="21"/>
              </w:rPr>
              <w:t>【重塑學習文化：高成就必須伴隨高投入】</w:t>
              <w:br/>
            </w:r>
            <w:r>
              <w:rPr>
                <w:rFonts w:ascii="微軟正黑體" w:hAnsi="微軟正黑體"/>
                <w:color w:val="2D3748"/>
                <w:sz w:val="19"/>
              </w:rPr>
              <w:t>課堂變革方針：由『被動灌輸型課堂』走向『探究與自主賦能型課堂』。</w:t>
            </w:r>
          </w:p>
          <w:p>
            <w:pPr>
              <w:spacing w:before="40" w:after="60" w:line="300" w:lineRule="auto"/>
            </w:pPr>
            <w:r>
              <w:rPr>
                <w:rFonts w:ascii="微軟正黑體" w:hAnsi="微軟正黑體"/>
                <w:color w:val="2D3748"/>
                <w:sz w:val="19"/>
              </w:rPr>
              <w:t>在 P1–S6 課程中體系化導入探究式學習（Inquiry-based Learning）與真實問題解決專案（Real-world Problem Solving），賦予學生探究自主權；在評量中鼓勵試錯與迭代，打破唯分數至上的評價文化，重燃學生的好奇心與學術歸屬感。</w:t>
            </w:r>
          </w:p>
        </w:tc>
      </w:tr>
    </w:tbl>
    <w:p>
      <w:pPr>
        <w:spacing w:before="0" w:after="80"/>
      </w:pPr>
    </w:p>
    <w:p>
      <w:pPr>
        <w:keepNext/>
        <w:spacing w:before="280" w:after="100"/>
      </w:pPr>
      <w:r>
        <w:rPr>
          <w:rFonts w:ascii="微軟正黑體" w:hAnsi="微軟正黑體"/>
          <w:b/>
          <w:color w:val="2B6CB0"/>
          <w:sz w:val="24"/>
        </w:rPr>
        <w:t>3.5 矛盾五：高 AI 普及率下的「認知外包」危機與課堂數位干擾代價</w:t>
      </w:r>
    </w:p>
    <w:p>
      <w:pPr>
        <w:spacing w:after="100" w:line="300" w:lineRule="auto"/>
      </w:pPr>
      <w:r>
        <w:rPr>
          <w:rFonts w:ascii="微軟正黑體" w:hAnsi="微軟正黑體"/>
          <w:i w:val="0"/>
          <w:color w:val="2D3748"/>
          <w:sz w:val="20"/>
        </w:rPr>
        <w:t>PISA 2025 首次系統性調查了學生的生成式 AI（如 ChatGPT、各類 AI Chatbot）使用行為與課堂數位干擾，澳門的數據極富戲劇性：</w:t>
      </w:r>
    </w:p>
    <w:tbl>
      <w:tblPr>
        <w:tblW w:type="auto" w:w="0"/>
        <w:jc w:val="center"/>
        <w:tblLayout w:type="fixed"/>
        <w:tblLook w:firstColumn="1" w:firstRow="1" w:lastColumn="0" w:lastRow="0" w:noHBand="0" w:noVBand="1" w:val="04A0"/>
        <w:tblBorders>
          <w:top w:val="single" w:sz="6" w:space="0" w:color="CBD5E0"/>
          <w:left w:val="none"/>
          <w:bottom w:val="single" w:sz="12" w:space="0" w:color="1A365D"/>
          <w:right w:val="none"/>
          <w:insideH w:val="single" w:sz="4" w:space="0" w:color="CBD5E0"/>
          <w:insideV w:val="none"/>
        </w:tblBorders>
      </w:tblPr>
      <w:tblGrid>
        <w:gridCol w:w="2340"/>
        <w:gridCol w:w="2340"/>
        <w:gridCol w:w="2340"/>
        <w:gridCol w:w="2340"/>
      </w:tblGrid>
      <w:tr>
        <w:trPr>
          <w:tblHeader/>
          <w:cantSplit/>
        </w:trPr>
        <w:tc>
          <w:tcPr>
            <w:tcW w:type="dxa" w:w="2592"/>
            <w:shd w:fill="1A365D"/>
            <w:tcMar>
              <w:top w:w="120" w:type="dxa"/>
              <w:left w:w="120" w:type="dxa"/>
              <w:bottom w:w="120" w:type="dxa"/>
              <w:right w:w="120" w:type="dxa"/>
            </w:tcMar>
          </w:tcPr>
          <w:p>
            <w:pPr>
              <w:spacing w:before="0" w:after="0"/>
              <w:jc w:val="center"/>
            </w:pPr>
            <w:r>
              <w:rPr>
                <w:rFonts w:ascii="微軟正黑體" w:hAnsi="微軟正黑體"/>
                <w:b/>
                <w:color w:val="FFFFFF"/>
                <w:sz w:val="18"/>
              </w:rPr>
              <w:t>AI 輔助學習用途</w:t>
            </w:r>
          </w:p>
        </w:tc>
        <w:tc>
          <w:tcPr>
            <w:tcW w:type="dxa" w:w="1584"/>
            <w:shd w:fill="1A365D"/>
            <w:tcMar>
              <w:top w:w="120" w:type="dxa"/>
              <w:left w:w="120" w:type="dxa"/>
              <w:bottom w:w="120" w:type="dxa"/>
              <w:right w:w="120" w:type="dxa"/>
            </w:tcMar>
          </w:tcPr>
          <w:p>
            <w:pPr>
              <w:spacing w:before="0" w:after="0"/>
              <w:jc w:val="center"/>
            </w:pPr>
            <w:r>
              <w:rPr>
                <w:rFonts w:ascii="微軟正黑體" w:hAnsi="微軟正黑體"/>
                <w:b/>
                <w:color w:val="FFFFFF"/>
                <w:sz w:val="18"/>
              </w:rPr>
              <w:t>澳門學生佔比</w:t>
            </w:r>
          </w:p>
        </w:tc>
        <w:tc>
          <w:tcPr>
            <w:tcW w:type="dxa" w:w="1584"/>
            <w:shd w:fill="1A365D"/>
            <w:tcMar>
              <w:top w:w="120" w:type="dxa"/>
              <w:left w:w="120" w:type="dxa"/>
              <w:bottom w:w="120" w:type="dxa"/>
              <w:right w:w="120" w:type="dxa"/>
            </w:tcMar>
          </w:tcPr>
          <w:p>
            <w:pPr>
              <w:spacing w:before="0" w:after="0"/>
              <w:jc w:val="center"/>
            </w:pPr>
            <w:r>
              <w:rPr>
                <w:rFonts w:ascii="微軟正黑體" w:hAnsi="微軟正黑體"/>
                <w:b/>
                <w:color w:val="FFFFFF"/>
                <w:sz w:val="18"/>
              </w:rPr>
              <w:t>OECD 平均佔比</w:t>
            </w:r>
          </w:p>
        </w:tc>
        <w:tc>
          <w:tcPr>
            <w:tcW w:type="dxa" w:w="3600"/>
            <w:shd w:fill="1A365D"/>
            <w:tcMar>
              <w:top w:w="120" w:type="dxa"/>
              <w:left w:w="120" w:type="dxa"/>
              <w:bottom w:w="120" w:type="dxa"/>
              <w:right w:w="120" w:type="dxa"/>
            </w:tcMar>
          </w:tcPr>
          <w:p>
            <w:pPr>
              <w:spacing w:before="0" w:after="0"/>
              <w:jc w:val="center"/>
            </w:pPr>
            <w:r>
              <w:rPr>
                <w:rFonts w:ascii="微軟正黑體" w:hAnsi="微軟正黑體"/>
                <w:b/>
                <w:color w:val="FFFFFF"/>
                <w:sz w:val="18"/>
              </w:rPr>
              <w:t>校本課程教學診斷</w:t>
            </w:r>
          </w:p>
        </w:tc>
      </w:tr>
      <w:tr>
        <w:trPr>
          <w:cantSplit/>
        </w:trPr>
        <w:tc>
          <w:tcPr>
            <w:tcW w:type="dxa" w:w="2592"/>
            <w:shd w:fill="FFFFFF"/>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每週至少使用 AI Chatbot 學習</w:t>
            </w:r>
          </w:p>
        </w:tc>
        <w:tc>
          <w:tcPr>
            <w:tcW w:type="dxa" w:w="1584"/>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67%</w:t>
            </w:r>
          </w:p>
        </w:tc>
        <w:tc>
          <w:tcPr>
            <w:tcW w:type="dxa" w:w="1584"/>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46%</w:t>
            </w:r>
          </w:p>
        </w:tc>
        <w:tc>
          <w:tcPr>
            <w:tcW w:type="dxa" w:w="3600"/>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澳門學生普及度極高，AI 已深刻重構課後學習生態</w:t>
            </w:r>
          </w:p>
        </w:tc>
      </w:tr>
      <w:tr>
        <w:trPr>
          <w:cantSplit/>
        </w:trPr>
        <w:tc>
          <w:tcPr>
            <w:tcW w:type="dxa" w:w="2592"/>
            <w:shd w:fill="EDF2F7"/>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使用 AI 初步研究新課題</w:t>
            </w:r>
          </w:p>
        </w:tc>
        <w:tc>
          <w:tcPr>
            <w:tcW w:type="dxa" w:w="1584"/>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38%</w:t>
            </w:r>
          </w:p>
        </w:tc>
        <w:tc>
          <w:tcPr>
            <w:tcW w:type="dxa" w:w="1584"/>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31%</w:t>
            </w:r>
          </w:p>
        </w:tc>
        <w:tc>
          <w:tcPr>
            <w:tcW w:type="dxa" w:w="3600"/>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正面應用：利用 AI 擴展資訊視野與先行探索</w:t>
            </w:r>
          </w:p>
        </w:tc>
      </w:tr>
      <w:tr>
        <w:trPr>
          <w:cantSplit/>
        </w:trPr>
        <w:tc>
          <w:tcPr>
            <w:tcW w:type="dxa" w:w="2592"/>
            <w:shd w:fill="FFFFFF"/>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使用 AI 摘要閱讀文本</w:t>
            </w:r>
          </w:p>
        </w:tc>
        <w:tc>
          <w:tcPr>
            <w:tcW w:type="dxa" w:w="1584"/>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41%</w:t>
            </w:r>
          </w:p>
        </w:tc>
        <w:tc>
          <w:tcPr>
            <w:tcW w:type="dxa" w:w="1584"/>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30%</w:t>
            </w:r>
          </w:p>
        </w:tc>
        <w:tc>
          <w:tcPr>
            <w:tcW w:type="dxa" w:w="3600"/>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雙刃劍：節省時間 vs 削弱精讀、深讀與長文本耐心</w:t>
            </w:r>
          </w:p>
        </w:tc>
      </w:tr>
      <w:tr>
        <w:trPr>
          <w:cantSplit/>
        </w:trPr>
        <w:tc>
          <w:tcPr>
            <w:tcW w:type="dxa" w:w="2592"/>
            <w:shd w:fill="EDF2F7"/>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使用 AI 撰寫作業初稿</w:t>
            </w:r>
          </w:p>
        </w:tc>
        <w:tc>
          <w:tcPr>
            <w:tcW w:type="dxa" w:w="1584"/>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40%</w:t>
            </w:r>
          </w:p>
        </w:tc>
        <w:tc>
          <w:tcPr>
            <w:tcW w:type="dxa" w:w="1584"/>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29%</w:t>
            </w:r>
          </w:p>
        </w:tc>
        <w:tc>
          <w:tcPr>
            <w:tcW w:type="dxa" w:w="3600"/>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高危領域：極易誘發認知外包，喪失獨立構思與論證能力</w:t>
            </w:r>
          </w:p>
        </w:tc>
      </w:tr>
      <w:tr>
        <w:trPr>
          <w:cantSplit/>
        </w:trPr>
        <w:tc>
          <w:tcPr>
            <w:tcW w:type="dxa" w:w="2592"/>
            <w:shd w:fill="FFFFFF"/>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幾乎從不使用 AI 完成學習任務</w:t>
            </w:r>
          </w:p>
        </w:tc>
        <w:tc>
          <w:tcPr>
            <w:tcW w:type="dxa" w:w="1584"/>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w:t>
            </w:r>
          </w:p>
        </w:tc>
        <w:tc>
          <w:tcPr>
            <w:tcW w:type="dxa" w:w="1584"/>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約 15%</w:t>
            </w:r>
          </w:p>
        </w:tc>
        <w:tc>
          <w:tcPr>
            <w:tcW w:type="dxa" w:w="3600"/>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AI 零接觸者已成極少數，禁止不如科學規範</w:t>
            </w:r>
          </w:p>
        </w:tc>
      </w:tr>
    </w:tbl>
    <w:p>
      <w:pPr>
        <w:spacing w:before="0" w:after="120"/>
      </w:pPr>
    </w:p>
    <w:p>
      <w:pPr>
        <w:pStyle w:val="ListBullet"/>
        <w:spacing w:after="50" w:line="288" w:lineRule="auto"/>
      </w:pPr>
      <w:r>
        <w:rPr>
          <w:rFonts w:ascii="微軟正黑體" w:hAnsi="微軟正黑體"/>
          <w:b/>
          <w:color w:val="2D3748"/>
          <w:sz w:val="19"/>
        </w:rPr>
        <w:t>認知外包 vs 思維賦能：</w:t>
      </w:r>
      <w:r>
        <w:rPr>
          <w:rFonts w:ascii="微軟正黑體" w:hAnsi="微軟正黑體"/>
          <w:color w:val="2D3748"/>
          <w:sz w:val="19"/>
        </w:rPr>
        <w:t>使用 AI 的關鍵在於區分「AI Replacing Thinking（認知外包、思維萎縮）」與「AI Supporting Thinking（思維腳手架、批判擴展）」。學生 A 遇到數學題直接將題目丟給 AI 複製答案；學生 B 則先給出自己的解題步驟，要求 AI 扮演挑剔的評審挑出推理漏洞並進行概念辯論。兩者的教育效能有雲泥之別！</w:t>
      </w:r>
    </w:p>
    <w:p>
      <w:pPr>
        <w:pStyle w:val="ListBullet"/>
        <w:spacing w:after="50" w:line="288" w:lineRule="auto"/>
      </w:pPr>
      <w:r>
        <w:rPr>
          <w:rFonts w:ascii="微軟正黑體" w:hAnsi="微軟正黑體"/>
          <w:b/>
          <w:color w:val="2D3748"/>
          <w:sz w:val="19"/>
        </w:rPr>
        <w:t>課堂數位干擾（Digital Distraction）的沉重代價：</w:t>
      </w:r>
      <w:r>
        <w:rPr>
          <w:rFonts w:ascii="微軟正黑體" w:hAnsi="微軟正黑體"/>
          <w:color w:val="2D3748"/>
          <w:sz w:val="19"/>
        </w:rPr>
        <w:t>澳門僅約 13% 的學生表示在科學課上經常受到同儕使用數位設備的干擾（OECD 為 28%），環境看似良好。然而，計量迴歸顯示：在控制社經背景後，澳門受到數位干擾的學生，其科學成績平均落後高達 24 分，而 OECD 平均差距僅 11 分！</w:t>
      </w:r>
    </w:p>
    <w:p>
      <w:pPr>
        <w:pStyle w:val="ListBullet"/>
        <w:spacing w:after="50" w:line="288" w:lineRule="auto"/>
      </w:pPr>
      <w:r>
        <w:rPr>
          <w:rFonts w:ascii="微軟正黑體" w:hAnsi="微軟正黑體"/>
          <w:b/>
          <w:color w:val="2D3748"/>
          <w:sz w:val="19"/>
        </w:rPr>
        <w:t>深度剖析干擾代價：</w:t>
      </w:r>
      <w:r>
        <w:rPr>
          <w:rFonts w:ascii="微軟正黑體" w:hAnsi="微軟正黑體"/>
          <w:color w:val="2D3748"/>
          <w:sz w:val="19"/>
        </w:rPr>
        <w:t>這表明澳門課堂教學密度高、進度快，一旦學生在課堂中被平板、手機或非教學訊息分心，其認知鏈條即刻斷裂，造成的學業損耗是 OECD 國家的兩倍以上！</w:t>
      </w:r>
    </w:p>
    <w:tbl>
      <w:tblPr>
        <w:tblW w:type="auto" w:w="0"/>
        <w:jc w:val="center"/>
        <w:tblLayout w:type="fixed"/>
        <w:tblLook w:firstColumn="1" w:firstRow="1" w:lastColumn="0" w:lastRow="0" w:noHBand="0" w:noVBand="1" w:val="04A0"/>
      </w:tblPr>
      <w:tblGrid>
        <w:gridCol w:w="9360"/>
      </w:tblGrid>
      <w:tr>
        <w:tc>
          <w:tcPr>
            <w:tcW w:type="dxa" w:w="9360"/>
            <w:shd w:fill="FFF5F5"/>
            <w:tcBorders>
              <w:top w:val="none"/>
              <w:left w:val="single" w:sz="28" w:space="0" w:color="C53030"/>
              <w:bottom w:val="none"/>
              <w:right w:val="none"/>
            </w:tcBorders>
            <w:tcMar>
              <w:top w:w="140" w:type="dxa"/>
              <w:left w:w="200" w:type="dxa"/>
              <w:bottom w:w="140" w:type="dxa"/>
              <w:right w:w="180" w:type="dxa"/>
            </w:tcMar>
          </w:tcPr>
          <w:p>
            <w:pPr>
              <w:spacing w:before="0" w:after="60"/>
            </w:pPr>
            <w:r>
              <w:rPr>
                <w:rFonts w:ascii="微軟正黑體" w:hAnsi="微軟正黑體"/>
                <w:b/>
                <w:color w:val="C53030"/>
                <w:sz w:val="21"/>
              </w:rPr>
              <w:t>【數位與 AI 政策轉向：防範認知萎縮與課堂分心】</w:t>
              <w:br/>
            </w:r>
            <w:r>
              <w:rPr>
                <w:rFonts w:ascii="微軟正黑體" w:hAnsi="微軟正黑體"/>
                <w:color w:val="2D3748"/>
                <w:sz w:val="19"/>
              </w:rPr>
              <w:t>學校數碼政策重構：學校的 Digital Policy 必須從過去簡單的「設備管理與配備（Device Availability）」跨越到「數位教學法 + 課堂專注度管理 + 批判性 AI 素養（Pedagogy, Discipline &amp; Critical Literacy）」：</w:t>
            </w:r>
          </w:p>
          <w:p>
            <w:pPr>
              <w:spacing w:before="40" w:after="60" w:line="300" w:lineRule="auto"/>
            </w:pPr>
            <w:r>
              <w:rPr>
                <w:rFonts w:ascii="微軟正黑體" w:hAnsi="微軟正黑體"/>
                <w:color w:val="2D3748"/>
                <w:sz w:val="19"/>
              </w:rPr>
              <w:t>① 課堂推行 3D 專注策略（Design 任務引導、Discipline 物理螢幕管控、Diagnostic 學習軌跡監控）；</w:t>
            </w:r>
          </w:p>
          <w:p>
            <w:pPr>
              <w:spacing w:before="40" w:after="60" w:line="300" w:lineRule="auto"/>
            </w:pPr>
            <w:r>
              <w:rPr>
                <w:rFonts w:ascii="微軟正黑體" w:hAnsi="微軟正黑體"/>
                <w:color w:val="2D3748"/>
                <w:sz w:val="19"/>
              </w:rPr>
              <w:t>② 課程導入 Q-V-R-E-R 思維五步法，禁止未經反思的答案複製，全面引導學生將 AI 作為邏輯思辨與深度探究的對話夥伴。</w:t>
            </w:r>
          </w:p>
        </w:tc>
      </w:tr>
    </w:tbl>
    <w:p>
      <w:pPr>
        <w:spacing w:before="0" w:after="80"/>
      </w:pPr>
    </w:p>
    <w:p>
      <w:pPr>
        <w:keepNext/>
        <w:spacing w:before="360" w:after="160"/>
      </w:pPr>
      <w:r>
        <w:rPr>
          <w:rFonts w:ascii="微軟正黑體" w:hAnsi="微軟正黑體"/>
          <w:b/>
          <w:color w:val="1A365D"/>
          <w:sz w:val="28"/>
        </w:rPr>
        <w:t>第四章：三層次落地推進架構與校本課程診斷模型</w:t>
      </w:r>
    </w:p>
    <w:p>
      <w:pPr>
        <w:spacing w:after="100" w:line="300" w:lineRule="auto"/>
      </w:pPr>
      <w:r>
        <w:rPr>
          <w:rFonts w:ascii="微軟正黑體" w:hAnsi="微軟正黑體"/>
          <w:i w:val="0"/>
          <w:color w:val="2D3748"/>
          <w:sz w:val="20"/>
        </w:rPr>
        <w:t>為確保改革不淪為空洞口號，課程發展處將 PISA 洞察拆解為層層遞進的「三層分析與落地模型」：</w:t>
      </w:r>
    </w:p>
    <w:p>
      <w:pPr>
        <w:keepNext/>
        <w:spacing w:before="280" w:after="100"/>
      </w:pPr>
      <w:r>
        <w:rPr>
          <w:rFonts w:ascii="微軟正黑體" w:hAnsi="微軟正黑體"/>
          <w:b/>
          <w:color w:val="2B6CB0"/>
          <w:sz w:val="24"/>
        </w:rPr>
        <w:t>4.1 第一層：東亞高表現教育體系跨域標竿比較（Macau Benchmark）</w:t>
      </w:r>
    </w:p>
    <w:p>
      <w:pPr>
        <w:spacing w:after="100" w:line="300" w:lineRule="auto"/>
      </w:pPr>
      <w:r>
        <w:rPr>
          <w:rFonts w:ascii="微軟正黑體" w:hAnsi="微軟正黑體"/>
          <w:i w:val="0"/>
          <w:color w:val="2D3748"/>
          <w:sz w:val="20"/>
        </w:rPr>
        <w:t>分析澳門無須與全球 90 個體系全部對比，而應精準錨定同處儒家文化圈、以高學業表現著稱的東亞核心標竿：澳門（MAC）、新加坡（SGP）、日本（JPN）、韓國（KOR）、中華台北（TPE）、香港（HKG）及 OECD 基準。</w:t>
      </w:r>
    </w:p>
    <w:tbl>
      <w:tblPr>
        <w:tblW w:type="auto" w:w="0"/>
        <w:jc w:val="center"/>
        <w:tblLayout w:type="fixed"/>
        <w:tblLook w:firstColumn="1" w:firstRow="1" w:lastColumn="0" w:lastRow="0" w:noHBand="0" w:noVBand="1" w:val="04A0"/>
        <w:tblBorders>
          <w:top w:val="single" w:sz="6" w:space="0" w:color="CBD5E0"/>
          <w:left w:val="none"/>
          <w:bottom w:val="single" w:sz="12" w:space="0" w:color="1A365D"/>
          <w:right w:val="none"/>
          <w:insideH w:val="single" w:sz="4" w:space="0" w:color="CBD5E0"/>
          <w:insideV w:val="none"/>
        </w:tblBorders>
      </w:tblPr>
      <w:tblGrid>
        <w:gridCol w:w="1337"/>
        <w:gridCol w:w="1337"/>
        <w:gridCol w:w="1337"/>
        <w:gridCol w:w="1337"/>
        <w:gridCol w:w="1337"/>
        <w:gridCol w:w="1337"/>
        <w:gridCol w:w="1337"/>
      </w:tblGrid>
      <w:tr>
        <w:trPr>
          <w:tblHeader/>
          <w:cantSplit/>
        </w:trPr>
        <w:tc>
          <w:tcPr>
            <w:tcW w:type="dxa" w:w="2160"/>
            <w:shd w:fill="1A365D"/>
            <w:tcMar>
              <w:top w:w="120" w:type="dxa"/>
              <w:left w:w="120" w:type="dxa"/>
              <w:bottom w:w="120" w:type="dxa"/>
              <w:right w:w="120" w:type="dxa"/>
            </w:tcMar>
          </w:tcPr>
          <w:p>
            <w:pPr>
              <w:spacing w:before="0" w:after="0"/>
              <w:jc w:val="center"/>
            </w:pPr>
            <w:r>
              <w:rPr>
                <w:rFonts w:ascii="微軟正黑體" w:hAnsi="微軟正黑體"/>
                <w:b/>
                <w:color w:val="FFFFFF"/>
                <w:sz w:val="18"/>
              </w:rPr>
              <w:t>經濟體 / 指標</w:t>
            </w:r>
          </w:p>
        </w:tc>
        <w:tc>
          <w:tcPr>
            <w:tcW w:type="dxa" w:w="1152"/>
            <w:shd w:fill="1A365D"/>
            <w:tcMar>
              <w:top w:w="120" w:type="dxa"/>
              <w:left w:w="120" w:type="dxa"/>
              <w:bottom w:w="120" w:type="dxa"/>
              <w:right w:w="120" w:type="dxa"/>
            </w:tcMar>
          </w:tcPr>
          <w:p>
            <w:pPr>
              <w:spacing w:before="0" w:after="0"/>
              <w:jc w:val="center"/>
            </w:pPr>
            <w:r>
              <w:rPr>
                <w:rFonts w:ascii="微軟正黑體" w:hAnsi="微軟正黑體"/>
                <w:b/>
                <w:color w:val="FFFFFF"/>
                <w:sz w:val="18"/>
              </w:rPr>
              <w:t>數學均分</w:t>
            </w:r>
          </w:p>
        </w:tc>
        <w:tc>
          <w:tcPr>
            <w:tcW w:type="dxa" w:w="1152"/>
            <w:shd w:fill="1A365D"/>
            <w:tcMar>
              <w:top w:w="120" w:type="dxa"/>
              <w:left w:w="120" w:type="dxa"/>
              <w:bottom w:w="120" w:type="dxa"/>
              <w:right w:w="120" w:type="dxa"/>
            </w:tcMar>
          </w:tcPr>
          <w:p>
            <w:pPr>
              <w:spacing w:before="0" w:after="0"/>
              <w:jc w:val="center"/>
            </w:pPr>
            <w:r>
              <w:rPr>
                <w:rFonts w:ascii="微軟正黑體" w:hAnsi="微軟正黑體"/>
                <w:b/>
                <w:color w:val="FFFFFF"/>
                <w:sz w:val="18"/>
              </w:rPr>
              <w:t>科學均分</w:t>
            </w:r>
          </w:p>
        </w:tc>
        <w:tc>
          <w:tcPr>
            <w:tcW w:type="dxa" w:w="1152"/>
            <w:shd w:fill="1A365D"/>
            <w:tcMar>
              <w:top w:w="120" w:type="dxa"/>
              <w:left w:w="120" w:type="dxa"/>
              <w:bottom w:w="120" w:type="dxa"/>
              <w:right w:w="120" w:type="dxa"/>
            </w:tcMar>
          </w:tcPr>
          <w:p>
            <w:pPr>
              <w:spacing w:before="0" w:after="0"/>
              <w:jc w:val="center"/>
            </w:pPr>
            <w:r>
              <w:rPr>
                <w:rFonts w:ascii="微軟正黑體" w:hAnsi="微軟正黑體"/>
                <w:b/>
                <w:color w:val="FFFFFF"/>
                <w:sz w:val="18"/>
              </w:rPr>
              <w:t>閱讀均分</w:t>
            </w:r>
          </w:p>
        </w:tc>
        <w:tc>
          <w:tcPr>
            <w:tcW w:type="dxa" w:w="1584"/>
            <w:shd w:fill="1A365D"/>
            <w:tcMar>
              <w:top w:w="120" w:type="dxa"/>
              <w:left w:w="120" w:type="dxa"/>
              <w:bottom w:w="120" w:type="dxa"/>
              <w:right w:w="120" w:type="dxa"/>
            </w:tcMar>
          </w:tcPr>
          <w:p>
            <w:pPr>
              <w:spacing w:before="0" w:after="0"/>
              <w:jc w:val="center"/>
            </w:pPr>
            <w:r>
              <w:rPr>
                <w:rFonts w:ascii="微軟正黑體" w:hAnsi="微軟正黑體"/>
                <w:b/>
                <w:color w:val="FFFFFF"/>
                <w:sz w:val="18"/>
              </w:rPr>
              <w:t>運算解難(CPS)</w:t>
            </w:r>
          </w:p>
        </w:tc>
        <w:tc>
          <w:tcPr>
            <w:tcW w:type="dxa" w:w="1584"/>
            <w:shd w:fill="1A365D"/>
            <w:tcMar>
              <w:top w:w="120" w:type="dxa"/>
              <w:left w:w="120" w:type="dxa"/>
              <w:bottom w:w="120" w:type="dxa"/>
              <w:right w:w="120" w:type="dxa"/>
            </w:tcMar>
          </w:tcPr>
          <w:p>
            <w:pPr>
              <w:spacing w:before="0" w:after="0"/>
              <w:jc w:val="center"/>
            </w:pPr>
            <w:r>
              <w:rPr>
                <w:rFonts w:ascii="微軟正黑體" w:hAnsi="微軟正黑體"/>
                <w:b/>
                <w:color w:val="FFFFFF"/>
                <w:sz w:val="18"/>
              </w:rPr>
              <w:t>ESCS 解釋變異</w:t>
            </w:r>
          </w:p>
        </w:tc>
        <w:tc>
          <w:tcPr>
            <w:tcW w:type="dxa" w:w="1440"/>
            <w:shd w:fill="1A365D"/>
            <w:tcMar>
              <w:top w:w="120" w:type="dxa"/>
              <w:left w:w="120" w:type="dxa"/>
              <w:bottom w:w="120" w:type="dxa"/>
              <w:right w:w="120" w:type="dxa"/>
            </w:tcMar>
          </w:tcPr>
          <w:p>
            <w:pPr>
              <w:spacing w:before="0" w:after="0"/>
              <w:jc w:val="center"/>
            </w:pPr>
            <w:r>
              <w:rPr>
                <w:rFonts w:ascii="微軟正黑體" w:hAnsi="微軟正黑體"/>
                <w:b/>
                <w:color w:val="FFFFFF"/>
                <w:sz w:val="18"/>
              </w:rPr>
              <w:t>學習樂趣比例</w:t>
            </w:r>
          </w:p>
        </w:tc>
      </w:tr>
      <w:tr>
        <w:trPr>
          <w:cantSplit/>
        </w:trPr>
        <w:tc>
          <w:tcPr>
            <w:tcW w:type="dxa" w:w="2160"/>
            <w:shd w:fill="FFFFFF"/>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澳門 (Macau)</w:t>
            </w:r>
          </w:p>
        </w:tc>
        <w:tc>
          <w:tcPr>
            <w:tcW w:type="dxa" w:w="115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549</w:t>
            </w:r>
          </w:p>
        </w:tc>
        <w:tc>
          <w:tcPr>
            <w:tcW w:type="dxa" w:w="115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541</w:t>
            </w:r>
          </w:p>
        </w:tc>
        <w:tc>
          <w:tcPr>
            <w:tcW w:type="dxa" w:w="115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501</w:t>
            </w:r>
          </w:p>
        </w:tc>
        <w:tc>
          <w:tcPr>
            <w:tcW w:type="dxa" w:w="1584"/>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572 (全球第1)</w:t>
            </w:r>
          </w:p>
        </w:tc>
        <w:tc>
          <w:tcPr>
            <w:tcW w:type="dxa" w:w="1584"/>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約 4% (極高公平)</w:t>
            </w:r>
          </w:p>
        </w:tc>
        <w:tc>
          <w:tcPr>
            <w:tcW w:type="dxa" w:w="1440"/>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58.1% (偏低)</w:t>
            </w:r>
          </w:p>
        </w:tc>
      </w:tr>
      <w:tr>
        <w:trPr>
          <w:cantSplit/>
        </w:trPr>
        <w:tc>
          <w:tcPr>
            <w:tcW w:type="dxa" w:w="2160"/>
            <w:shd w:fill="EDF2F7"/>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新加坡 (Singapore)</w:t>
            </w:r>
          </w:p>
        </w:tc>
        <w:tc>
          <w:tcPr>
            <w:tcW w:type="dxa" w:w="1152"/>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575+</w:t>
            </w:r>
          </w:p>
        </w:tc>
        <w:tc>
          <w:tcPr>
            <w:tcW w:type="dxa" w:w="1152"/>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560+</w:t>
            </w:r>
          </w:p>
        </w:tc>
        <w:tc>
          <w:tcPr>
            <w:tcW w:type="dxa" w:w="1152"/>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540+</w:t>
            </w:r>
          </w:p>
        </w:tc>
        <w:tc>
          <w:tcPr>
            <w:tcW w:type="dxa" w:w="1584"/>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565+</w:t>
            </w:r>
          </w:p>
        </w:tc>
        <w:tc>
          <w:tcPr>
            <w:tcW w:type="dxa" w:w="1584"/>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約 13% (高成就/高競爭)</w:t>
            </w:r>
          </w:p>
        </w:tc>
        <w:tc>
          <w:tcPr>
            <w:tcW w:type="dxa" w:w="1440"/>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65% 左右</w:t>
            </w:r>
          </w:p>
        </w:tc>
      </w:tr>
      <w:tr>
        <w:trPr>
          <w:cantSplit/>
        </w:trPr>
        <w:tc>
          <w:tcPr>
            <w:tcW w:type="dxa" w:w="2160"/>
            <w:shd w:fill="FFFFFF"/>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日本 (Japan)</w:t>
            </w:r>
          </w:p>
        </w:tc>
        <w:tc>
          <w:tcPr>
            <w:tcW w:type="dxa" w:w="115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535+</w:t>
            </w:r>
          </w:p>
        </w:tc>
        <w:tc>
          <w:tcPr>
            <w:tcW w:type="dxa" w:w="115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545+</w:t>
            </w:r>
          </w:p>
        </w:tc>
        <w:tc>
          <w:tcPr>
            <w:tcW w:type="dxa" w:w="115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515+</w:t>
            </w:r>
          </w:p>
        </w:tc>
        <w:tc>
          <w:tcPr>
            <w:tcW w:type="dxa" w:w="1584"/>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550+</w:t>
            </w:r>
          </w:p>
        </w:tc>
        <w:tc>
          <w:tcPr>
            <w:tcW w:type="dxa" w:w="1584"/>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約 9% (均衡發展)</w:t>
            </w:r>
          </w:p>
        </w:tc>
        <w:tc>
          <w:tcPr>
            <w:tcW w:type="dxa" w:w="1440"/>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62% 左右</w:t>
            </w:r>
          </w:p>
        </w:tc>
      </w:tr>
      <w:tr>
        <w:trPr>
          <w:cantSplit/>
        </w:trPr>
        <w:tc>
          <w:tcPr>
            <w:tcW w:type="dxa" w:w="2160"/>
            <w:shd w:fill="EDF2F7"/>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中華台北 (Chinese Taipei)</w:t>
            </w:r>
          </w:p>
        </w:tc>
        <w:tc>
          <w:tcPr>
            <w:tcW w:type="dxa" w:w="1152"/>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545+</w:t>
            </w:r>
          </w:p>
        </w:tc>
        <w:tc>
          <w:tcPr>
            <w:tcW w:type="dxa" w:w="1152"/>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535+</w:t>
            </w:r>
          </w:p>
        </w:tc>
        <w:tc>
          <w:tcPr>
            <w:tcW w:type="dxa" w:w="1152"/>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510+</w:t>
            </w:r>
          </w:p>
        </w:tc>
        <w:tc>
          <w:tcPr>
            <w:tcW w:type="dxa" w:w="1584"/>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555+</w:t>
            </w:r>
          </w:p>
        </w:tc>
        <w:tc>
          <w:tcPr>
            <w:tcW w:type="dxa" w:w="1584"/>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約 14% (兩極分化明顯)</w:t>
            </w:r>
          </w:p>
        </w:tc>
        <w:tc>
          <w:tcPr>
            <w:tcW w:type="dxa" w:w="1440"/>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56% 左右</w:t>
            </w:r>
          </w:p>
        </w:tc>
      </w:tr>
      <w:tr>
        <w:trPr>
          <w:cantSplit/>
        </w:trPr>
        <w:tc>
          <w:tcPr>
            <w:tcW w:type="dxa" w:w="2160"/>
            <w:shd w:fill="FFFFFF"/>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韓國 (Korea)</w:t>
            </w:r>
          </w:p>
        </w:tc>
        <w:tc>
          <w:tcPr>
            <w:tcW w:type="dxa" w:w="115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525+</w:t>
            </w:r>
          </w:p>
        </w:tc>
        <w:tc>
          <w:tcPr>
            <w:tcW w:type="dxa" w:w="115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525+</w:t>
            </w:r>
          </w:p>
        </w:tc>
        <w:tc>
          <w:tcPr>
            <w:tcW w:type="dxa" w:w="115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515+</w:t>
            </w:r>
          </w:p>
        </w:tc>
        <w:tc>
          <w:tcPr>
            <w:tcW w:type="dxa" w:w="1584"/>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545+</w:t>
            </w:r>
          </w:p>
        </w:tc>
        <w:tc>
          <w:tcPr>
            <w:tcW w:type="dxa" w:w="1584"/>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約 10% (補習密集)</w:t>
            </w:r>
          </w:p>
        </w:tc>
        <w:tc>
          <w:tcPr>
            <w:tcW w:type="dxa" w:w="1440"/>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59% 左右</w:t>
            </w:r>
          </w:p>
        </w:tc>
      </w:tr>
      <w:tr>
        <w:trPr>
          <w:cantSplit/>
        </w:trPr>
        <w:tc>
          <w:tcPr>
            <w:tcW w:type="dxa" w:w="2160"/>
            <w:shd w:fill="EDF2F7"/>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香港 (Hong Kong)</w:t>
            </w:r>
          </w:p>
        </w:tc>
        <w:tc>
          <w:tcPr>
            <w:tcW w:type="dxa" w:w="1152"/>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540+</w:t>
            </w:r>
          </w:p>
        </w:tc>
        <w:tc>
          <w:tcPr>
            <w:tcW w:type="dxa" w:w="1152"/>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520+</w:t>
            </w:r>
          </w:p>
        </w:tc>
        <w:tc>
          <w:tcPr>
            <w:tcW w:type="dxa" w:w="1152"/>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500+</w:t>
            </w:r>
          </w:p>
        </w:tc>
        <w:tc>
          <w:tcPr>
            <w:tcW w:type="dxa" w:w="1584"/>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545+</w:t>
            </w:r>
          </w:p>
        </w:tc>
        <w:tc>
          <w:tcPr>
            <w:tcW w:type="dxa" w:w="1584"/>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約 6% (波動調整)</w:t>
            </w:r>
          </w:p>
        </w:tc>
        <w:tc>
          <w:tcPr>
            <w:tcW w:type="dxa" w:w="1440"/>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55% 左右</w:t>
            </w:r>
          </w:p>
        </w:tc>
      </w:tr>
      <w:tr>
        <w:trPr>
          <w:cantSplit/>
        </w:trPr>
        <w:tc>
          <w:tcPr>
            <w:tcW w:type="dxa" w:w="2160"/>
            <w:shd w:fill="FFFFFF"/>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OECD 平均基準</w:t>
            </w:r>
          </w:p>
        </w:tc>
        <w:tc>
          <w:tcPr>
            <w:tcW w:type="dxa" w:w="115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463</w:t>
            </w:r>
          </w:p>
        </w:tc>
        <w:tc>
          <w:tcPr>
            <w:tcW w:type="dxa" w:w="115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482</w:t>
            </w:r>
          </w:p>
        </w:tc>
        <w:tc>
          <w:tcPr>
            <w:tcW w:type="dxa" w:w="115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461</w:t>
            </w:r>
          </w:p>
        </w:tc>
        <w:tc>
          <w:tcPr>
            <w:tcW w:type="dxa" w:w="1584"/>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500</w:t>
            </w:r>
          </w:p>
        </w:tc>
        <w:tc>
          <w:tcPr>
            <w:tcW w:type="dxa" w:w="1584"/>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12% (中等)</w:t>
            </w:r>
          </w:p>
        </w:tc>
        <w:tc>
          <w:tcPr>
            <w:tcW w:type="dxa" w:w="1440"/>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68.8% (高投入)</w:t>
            </w:r>
          </w:p>
        </w:tc>
      </w:tr>
    </w:tbl>
    <w:p>
      <w:pPr>
        <w:spacing w:before="0" w:after="120"/>
      </w:pPr>
    </w:p>
    <w:p>
      <w:pPr>
        <w:spacing w:after="100" w:line="300" w:lineRule="auto"/>
      </w:pPr>
      <w:r>
        <w:rPr>
          <w:rFonts w:ascii="微軟正黑體" w:hAnsi="微軟正黑體"/>
          <w:i w:val="0"/>
          <w:color w:val="2D3748"/>
          <w:sz w:val="20"/>
        </w:rPr>
        <w:t>標竿洞察：澳門在 CPS 運算解難與教育公平（ESCS 變異僅 4%）上傲視東亞群雄，但在「閱讀素養」與「學習樂趣投入」上，落後於新加坡與日本。新加坡兼具高閱讀與高數理，其核心經驗在於體系化推動雙語深度閱讀與探究式科學教學；本校應以新加坡為標竿，強化學科閱讀與情境論證。</w:t>
      </w:r>
    </w:p>
    <w:p>
      <w:pPr>
        <w:keepNext/>
        <w:spacing w:before="280" w:after="100"/>
      </w:pPr>
      <w:r>
        <w:rPr>
          <w:rFonts w:ascii="微軟正黑體" w:hAnsi="微軟正黑體"/>
          <w:b/>
          <w:color w:val="2B6CB0"/>
          <w:sz w:val="24"/>
        </w:rPr>
        <w:t>4.2 第二層：PISA 核心認知素養能力解構（Competency Analysis）</w:t>
      </w:r>
    </w:p>
    <w:p>
      <w:pPr>
        <w:spacing w:after="100" w:line="300" w:lineRule="auto"/>
      </w:pPr>
      <w:r>
        <w:rPr>
          <w:rFonts w:ascii="微軟正黑體" w:hAnsi="微軟正黑體"/>
          <w:i w:val="0"/>
          <w:color w:val="2D3748"/>
          <w:sz w:val="20"/>
        </w:rPr>
        <w:t>PISA 評估的核心並非考核書本知識的復現，而是檢驗知識在未知情境中的動態遷移。以數學與運算解難為例：</w:t>
      </w:r>
    </w:p>
    <w:p>
      <w:pPr>
        <w:pStyle w:val="ListBullet"/>
        <w:spacing w:after="50" w:line="288" w:lineRule="auto"/>
      </w:pPr>
      <w:r>
        <w:rPr>
          <w:rFonts w:ascii="微軟正黑體" w:hAnsi="微軟正黑體"/>
          <w:b/>
          <w:color w:val="2D3748"/>
          <w:sz w:val="19"/>
        </w:rPr>
        <w:t>數學素養三大過程：</w:t>
      </w:r>
      <w:r>
        <w:rPr>
          <w:rFonts w:ascii="微軟正黑體" w:hAnsi="微軟正黑體"/>
          <w:color w:val="2D3748"/>
          <w:sz w:val="19"/>
        </w:rPr>
        <w:t>PISA 數學素養包含三大核心認知過程：① 形成情境問題（Formulate：將現實雜亂問題轉化為數學符號與模型）；② 應用概念與技巧（Employ：執行演算法、符號推導與計算）；③ 解釋與評估（Interpret &amp; Evaluate：將數學結論放回現實情境中檢驗合理性）。傳統課堂往往 80% 時間耗費在中間的 Employ（繁瑣計算），而 PISA 考查的精髓恰在兩端的 Formulate 與 Interpret/Evaluate！</w:t>
      </w:r>
    </w:p>
    <w:p>
      <w:pPr>
        <w:pStyle w:val="ListBullet"/>
        <w:spacing w:after="50" w:line="288" w:lineRule="auto"/>
      </w:pPr>
      <w:r>
        <w:rPr>
          <w:rFonts w:ascii="微軟正黑體" w:hAnsi="微軟正黑體"/>
          <w:b/>
          <w:color w:val="2D3748"/>
          <w:sz w:val="19"/>
        </w:rPr>
        <w:t>運算解難（CPS）四大能力：</w:t>
      </w:r>
      <w:r>
        <w:rPr>
          <w:rFonts w:ascii="微軟正黑體" w:hAnsi="微軟正黑體"/>
          <w:color w:val="2D3748"/>
          <w:sz w:val="19"/>
        </w:rPr>
        <w:t>澳門奪冠的 CPS 領域涵蓋四大能力構念：① 問題分解（Decomposition：將龐大複雜情境拆分為子任務）；② 演算法設計（Algorithm Design：設定可執行的解難流程與邏輯規則）；③ 抽象建模（Abstraction：提煉核心變量，忽略無關噪聲）；④ 系統除錯與評估（Debugging &amp; Evaluation：面對動態回饋及時修正策略）。這為本校跨學科科技與資訊課程提供了清晰的能力畫像。</w:t>
      </w:r>
    </w:p>
    <w:p>
      <w:pPr>
        <w:keepNext/>
        <w:spacing w:before="280" w:after="100"/>
      </w:pPr>
      <w:r>
        <w:rPr>
          <w:rFonts w:ascii="微軟正黑體" w:hAnsi="微軟正黑體"/>
          <w:b/>
          <w:color w:val="2B6CB0"/>
          <w:sz w:val="24"/>
        </w:rPr>
        <w:t>4.3 第三層：校本課堂與評量深度審計模型（School Diagnostic）</w:t>
      </w:r>
    </w:p>
    <w:p>
      <w:pPr>
        <w:spacing w:after="100" w:line="300" w:lineRule="auto"/>
      </w:pPr>
      <w:r>
        <w:rPr>
          <w:rFonts w:ascii="微軟正黑體" w:hAnsi="微軟正黑體"/>
          <w:i w:val="0"/>
          <w:color w:val="2D3748"/>
          <w:sz w:val="20"/>
        </w:rPr>
        <w:t>外部數據最終必須精準映射回本校日常教學。課程發展處特建立六階段校本診斷與閉環審計架構：</w:t>
      </w:r>
    </w:p>
    <w:p>
      <w:pPr>
        <w:spacing w:after="100" w:line="300" w:lineRule="auto"/>
      </w:pPr>
      <w:r>
        <w:rPr>
          <w:rFonts w:ascii="微軟正黑體" w:hAnsi="微軟正黑體"/>
          <w:i/>
          <w:color w:val="2D3748"/>
          <w:sz w:val="20"/>
        </w:rPr>
        <w:t>【PISA Benchmark 外部標竿】→【Curriculum Mapping 課程地圖】→【School Assessment 校內測考】→【Student Performance 學生表現】→【Teaching Practice 課堂教學】→【Curriculum Reform 制度改革】</w:t>
      </w:r>
    </w:p>
    <w:p>
      <w:pPr>
        <w:spacing w:after="100" w:line="300" w:lineRule="auto"/>
      </w:pPr>
      <w:r>
        <w:rPr>
          <w:rFonts w:ascii="微軟正黑體" w:hAnsi="微軟正黑體"/>
          <w:i w:val="0"/>
          <w:color w:val="2D3748"/>
          <w:sz w:val="20"/>
        </w:rPr>
        <w:t>當我們發現某一核心素養（例如『數學建模』或『跨學科圖表論證』）在校內學生表現疲軟時，管理層切忌盲目問責，而應依照「三岔路口診斷決策樹」進行根因分析：</w:t>
      </w:r>
    </w:p>
    <w:tbl>
      <w:tblPr>
        <w:tblW w:type="auto" w:w="0"/>
        <w:jc w:val="center"/>
        <w:tblLayout w:type="fixed"/>
        <w:tblLook w:firstColumn="1" w:firstRow="1" w:lastColumn="0" w:lastRow="0" w:noHBand="0" w:noVBand="1" w:val="04A0"/>
        <w:tblBorders>
          <w:top w:val="single" w:sz="6" w:space="0" w:color="CBD5E0"/>
          <w:left w:val="none"/>
          <w:bottom w:val="single" w:sz="12" w:space="0" w:color="1A365D"/>
          <w:right w:val="none"/>
          <w:insideH w:val="single" w:sz="4" w:space="0" w:color="CBD5E0"/>
          <w:insideV w:val="none"/>
        </w:tblBorders>
      </w:tblPr>
      <w:tblGrid>
        <w:gridCol w:w="2340"/>
        <w:gridCol w:w="2340"/>
        <w:gridCol w:w="2340"/>
        <w:gridCol w:w="2340"/>
      </w:tblGrid>
      <w:tr>
        <w:trPr>
          <w:tblHeader/>
          <w:cantSplit/>
        </w:trPr>
        <w:tc>
          <w:tcPr>
            <w:tcW w:type="dxa" w:w="2160"/>
            <w:shd w:fill="1A365D"/>
            <w:tcMar>
              <w:top w:w="120" w:type="dxa"/>
              <w:left w:w="120" w:type="dxa"/>
              <w:bottom w:w="120" w:type="dxa"/>
              <w:right w:w="120" w:type="dxa"/>
            </w:tcMar>
          </w:tcPr>
          <w:p>
            <w:pPr>
              <w:spacing w:before="0" w:after="0"/>
              <w:jc w:val="center"/>
            </w:pPr>
            <w:r>
              <w:rPr>
                <w:rFonts w:ascii="微軟正黑體" w:hAnsi="微軟正黑體"/>
                <w:b/>
                <w:color w:val="FFFFFF"/>
                <w:sz w:val="18"/>
              </w:rPr>
              <w:t>審計情境</w:t>
            </w:r>
          </w:p>
        </w:tc>
        <w:tc>
          <w:tcPr>
            <w:tcW w:type="dxa" w:w="2448"/>
            <w:shd w:fill="1A365D"/>
            <w:tcMar>
              <w:top w:w="120" w:type="dxa"/>
              <w:left w:w="120" w:type="dxa"/>
              <w:bottom w:w="120" w:type="dxa"/>
              <w:right w:w="120" w:type="dxa"/>
            </w:tcMar>
          </w:tcPr>
          <w:p>
            <w:pPr>
              <w:spacing w:before="0" w:after="0"/>
              <w:jc w:val="center"/>
            </w:pPr>
            <w:r>
              <w:rPr>
                <w:rFonts w:ascii="微軟正黑體" w:hAnsi="微軟正黑體"/>
                <w:b/>
                <w:color w:val="FFFFFF"/>
                <w:sz w:val="18"/>
              </w:rPr>
              <w:t>根本原因判定</w:t>
            </w:r>
          </w:p>
        </w:tc>
        <w:tc>
          <w:tcPr>
            <w:tcW w:type="dxa" w:w="1584"/>
            <w:shd w:fill="1A365D"/>
            <w:tcMar>
              <w:top w:w="120" w:type="dxa"/>
              <w:left w:w="120" w:type="dxa"/>
              <w:bottom w:w="120" w:type="dxa"/>
              <w:right w:w="120" w:type="dxa"/>
            </w:tcMar>
          </w:tcPr>
          <w:p>
            <w:pPr>
              <w:spacing w:before="0" w:after="0"/>
              <w:jc w:val="center"/>
            </w:pPr>
            <w:r>
              <w:rPr>
                <w:rFonts w:ascii="微軟正黑體" w:hAnsi="微軟正黑體"/>
                <w:b/>
                <w:color w:val="FFFFFF"/>
                <w:sz w:val="18"/>
              </w:rPr>
              <w:t>管理本質</w:t>
            </w:r>
          </w:p>
        </w:tc>
        <w:tc>
          <w:tcPr>
            <w:tcW w:type="dxa" w:w="3168"/>
            <w:shd w:fill="1A365D"/>
            <w:tcMar>
              <w:top w:w="120" w:type="dxa"/>
              <w:left w:w="120" w:type="dxa"/>
              <w:bottom w:w="120" w:type="dxa"/>
              <w:right w:w="120" w:type="dxa"/>
            </w:tcMar>
          </w:tcPr>
          <w:p>
            <w:pPr>
              <w:spacing w:before="0" w:after="0"/>
              <w:jc w:val="center"/>
            </w:pPr>
            <w:r>
              <w:rPr>
                <w:rFonts w:ascii="微軟正黑體" w:hAnsi="微軟正黑體"/>
                <w:b/>
                <w:color w:val="FFFFFF"/>
                <w:sz w:val="18"/>
              </w:rPr>
              <w:t>精準干預處方</w:t>
            </w:r>
          </w:p>
        </w:tc>
      </w:tr>
      <w:tr>
        <w:trPr>
          <w:cantSplit/>
        </w:trPr>
        <w:tc>
          <w:tcPr>
            <w:tcW w:type="dxa" w:w="2160"/>
            <w:shd w:fill="FFFFFF"/>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情境 A：</w:t>
              <w:br/>
              <w:t>課程大綱寫了，</w:t>
              <w:br/>
              <w:t>但教師課堂沒教</w:t>
            </w:r>
          </w:p>
        </w:tc>
        <w:tc>
          <w:tcPr>
            <w:tcW w:type="dxa" w:w="2448"/>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課程實施（Implementation）缺失</w:t>
              <w:br/>
              <w:t>教師教學進度受壓或缺乏教學法支援</w:t>
            </w:r>
          </w:p>
        </w:tc>
        <w:tc>
          <w:tcPr>
            <w:tcW w:type="dxa" w:w="1584"/>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執行力與</w:t>
              <w:br/>
              <w:t>專業培訓問題</w:t>
            </w:r>
          </w:p>
        </w:tc>
        <w:tc>
          <w:tcPr>
            <w:tcW w:type="dxa" w:w="3168"/>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重構科組備課機制，提供課堂建模示範教案與教學指引，釋放課時壓力，確保新課綱落到實處。</w:t>
            </w:r>
          </w:p>
        </w:tc>
      </w:tr>
      <w:tr>
        <w:trPr>
          <w:cantSplit/>
        </w:trPr>
        <w:tc>
          <w:tcPr>
            <w:tcW w:type="dxa" w:w="2160"/>
            <w:shd w:fill="EDF2F7"/>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情境 B：</w:t>
              <w:br/>
              <w:t>教師課堂教了，</w:t>
              <w:br/>
              <w:t>但校內測考不考</w:t>
            </w:r>
          </w:p>
        </w:tc>
        <w:tc>
          <w:tcPr>
            <w:tcW w:type="dxa" w:w="2448"/>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評量對齊（Assessment Alignment）脫節</w:t>
              <w:br/>
              <w:t>段考命題依賴舊題庫，考查與教學兩張皮</w:t>
            </w:r>
          </w:p>
        </w:tc>
        <w:tc>
          <w:tcPr>
            <w:tcW w:type="dxa" w:w="1584"/>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命題機制與</w:t>
              <w:br/>
              <w:t>評價導向問題</w:t>
            </w:r>
          </w:p>
        </w:tc>
        <w:tc>
          <w:tcPr>
            <w:tcW w:type="dxa" w:w="3168"/>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改革段考命題審查機制，強制規定情境建模與論證題型佔比（不低於 35%），倒逼評量對齊。</w:t>
            </w:r>
          </w:p>
        </w:tc>
      </w:tr>
      <w:tr>
        <w:trPr>
          <w:cantSplit/>
        </w:trPr>
        <w:tc>
          <w:tcPr>
            <w:tcW w:type="dxa" w:w="2160"/>
            <w:shd w:fill="FFFFFF"/>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情境 C：</w:t>
              <w:br/>
              <w:t>課堂教了＋測考考了，</w:t>
              <w:br/>
              <w:t>但學生得分率仍低</w:t>
            </w:r>
          </w:p>
        </w:tc>
        <w:tc>
          <w:tcPr>
            <w:tcW w:type="dxa" w:w="2448"/>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學習與認知（Cognitive/Pedagogy）失效</w:t>
              <w:br/>
              <w:t>教學方法脫離學生認知區，學科素養斷層</w:t>
            </w:r>
          </w:p>
        </w:tc>
        <w:tc>
          <w:tcPr>
            <w:tcW w:type="dxa" w:w="1584"/>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學生理解與</w:t>
              <w:br/>
              <w:t>支架設計問題</w:t>
            </w:r>
          </w:p>
        </w:tc>
        <w:tc>
          <w:tcPr>
            <w:tcW w:type="dxa" w:w="3168"/>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診斷前置概念斷層，在日常課堂中搭建思維腳手架（Scaffolding），啟動 MTSS 第二層小組輔導。</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7FAFC"/>
            <w:tcBorders>
              <w:top w:val="none"/>
              <w:left w:val="single" w:sz="28" w:space="0" w:color="1A365D"/>
              <w:bottom w:val="none"/>
              <w:right w:val="none"/>
            </w:tcBorders>
            <w:tcMar>
              <w:top w:w="140" w:type="dxa"/>
              <w:left w:w="200" w:type="dxa"/>
              <w:bottom w:w="140" w:type="dxa"/>
              <w:right w:w="180" w:type="dxa"/>
            </w:tcMar>
          </w:tcPr>
          <w:p>
            <w:pPr>
              <w:spacing w:before="0" w:after="60"/>
            </w:pPr>
            <w:r>
              <w:rPr>
                <w:rFonts w:ascii="微軟正黑體" w:hAnsi="微軟正黑體"/>
                <w:b/>
                <w:color w:val="1A365D"/>
                <w:sz w:val="21"/>
              </w:rPr>
              <w:t>【審計決策邏輯：拒絕盲目加練，落實精準治理】</w:t>
              <w:br/>
            </w:r>
            <w:r>
              <w:rPr>
                <w:rFonts w:ascii="微軟正黑體" w:hAnsi="微軟正黑體"/>
                <w:color w:val="2D3748"/>
                <w:sz w:val="19"/>
              </w:rPr>
              <w:t>管理層警言：以往學校一旦看到成績不佳，往往只會下令『加強輔導、增加作業、多發練習卷』，這往往是在用無效的勤奮掩蓋制度性缺陷。</w:t>
            </w:r>
          </w:p>
          <w:p>
            <w:pPr>
              <w:spacing w:before="40" w:after="60" w:line="300" w:lineRule="auto"/>
            </w:pPr>
            <w:r>
              <w:rPr>
                <w:rFonts w:ascii="微軟正黑體" w:hAnsi="微軟正黑體"/>
                <w:color w:val="2D3748"/>
                <w:sz w:val="19"/>
              </w:rPr>
              <w:t>只有分清是『沒教』、『沒考』還是『教了考了學生仍不會』，課程改革才能精準開刀、藥到病除！</w:t>
            </w:r>
          </w:p>
        </w:tc>
      </w:tr>
    </w:tbl>
    <w:p>
      <w:pPr>
        <w:spacing w:before="0" w:after="80"/>
      </w:pPr>
    </w:p>
    <w:p>
      <w:pPr>
        <w:keepNext/>
        <w:spacing w:before="360" w:after="160"/>
      </w:pPr>
      <w:r>
        <w:rPr>
          <w:rFonts w:ascii="微軟正黑體" w:hAnsi="微軟正黑體"/>
          <w:b/>
          <w:color w:val="1A365D"/>
          <w:sz w:val="28"/>
        </w:rPr>
        <w:t>第五章：P1–S6 數學與跨學科素養縱向貫通規劃（Vertical Progression）</w:t>
      </w:r>
    </w:p>
    <w:p>
      <w:pPr>
        <w:spacing w:after="100" w:line="300" w:lineRule="auto"/>
      </w:pPr>
      <w:r>
        <w:rPr>
          <w:rFonts w:ascii="微軟正黑體" w:hAnsi="微軟正黑體"/>
          <w:i w:val="0"/>
          <w:color w:val="2D3748"/>
          <w:sz w:val="20"/>
        </w:rPr>
        <w:t>PISA 測試的對象是 15 歲學生（初三至高一年級），但一個 15 歲少年所具備的數學抽象、跨學科閱讀、運算邏輯與論證批判能力，絕非初三年級突擊訓練所能達成，而是自小學一年級起長達九至十年認知經驗層層累積的產物。如果我們等到學生進入初三才來補救，其思維定勢與概念短板早已固化。</w:t>
      </w:r>
    </w:p>
    <w:p>
      <w:pPr>
        <w:keepNext/>
        <w:spacing w:before="280" w:after="100"/>
      </w:pPr>
      <w:r>
        <w:rPr>
          <w:rFonts w:ascii="微軟正黑體" w:hAnsi="微軟正黑體"/>
          <w:b/>
          <w:color w:val="2B6CB0"/>
          <w:sz w:val="24"/>
        </w:rPr>
        <w:t>5.1 15 歲核心素養之逆向設計（Backward Design）貫通藍圖</w:t>
      </w:r>
    </w:p>
    <w:p>
      <w:pPr>
        <w:spacing w:after="100" w:line="300" w:lineRule="auto"/>
      </w:pPr>
      <w:r>
        <w:rPr>
          <w:rFonts w:ascii="微軟正黑體" w:hAnsi="微軟正黑體"/>
          <w:i w:val="0"/>
          <w:color w:val="2D3748"/>
          <w:sz w:val="20"/>
        </w:rPr>
        <w:t>課程發展處以 PISA 2025 評估框架為終點標準，採用「逆向設計（Backward Design）」理念，將 15 歲所需的高階素養向下拆解至十二年一貫的四大學習階段：</w:t>
      </w:r>
    </w:p>
    <w:tbl>
      <w:tblPr>
        <w:tblW w:type="auto" w:w="0"/>
        <w:jc w:val="center"/>
        <w:tblLayout w:type="fixed"/>
        <w:tblLook w:firstColumn="1" w:firstRow="1" w:lastColumn="0" w:lastRow="0" w:noHBand="0" w:noVBand="1" w:val="04A0"/>
        <w:tblBorders>
          <w:top w:val="single" w:sz="6" w:space="0" w:color="CBD5E0"/>
          <w:left w:val="none"/>
          <w:bottom w:val="single" w:sz="12" w:space="0" w:color="1A365D"/>
          <w:right w:val="none"/>
          <w:insideH w:val="single" w:sz="4" w:space="0" w:color="CBD5E0"/>
          <w:insideV w:val="none"/>
        </w:tblBorders>
      </w:tblPr>
      <w:tblGrid>
        <w:gridCol w:w="1872"/>
        <w:gridCol w:w="1872"/>
        <w:gridCol w:w="1872"/>
        <w:gridCol w:w="1872"/>
        <w:gridCol w:w="1872"/>
      </w:tblGrid>
      <w:tr>
        <w:trPr>
          <w:tblHeader/>
          <w:cantSplit/>
        </w:trPr>
        <w:tc>
          <w:tcPr>
            <w:tcW w:type="dxa" w:w="1728"/>
            <w:shd w:fill="1A365D"/>
            <w:tcMar>
              <w:top w:w="120" w:type="dxa"/>
              <w:left w:w="120" w:type="dxa"/>
              <w:bottom w:w="120" w:type="dxa"/>
              <w:right w:w="120" w:type="dxa"/>
            </w:tcMar>
          </w:tcPr>
          <w:p>
            <w:pPr>
              <w:spacing w:before="0" w:after="0"/>
              <w:jc w:val="center"/>
            </w:pPr>
            <w:r>
              <w:rPr>
                <w:rFonts w:ascii="微軟正黑體" w:hAnsi="微軟正黑體"/>
                <w:b/>
                <w:color w:val="FFFFFF"/>
                <w:sz w:val="18"/>
              </w:rPr>
              <w:t>學習階段</w:t>
            </w:r>
          </w:p>
        </w:tc>
        <w:tc>
          <w:tcPr>
            <w:tcW w:type="dxa" w:w="1440"/>
            <w:shd w:fill="1A365D"/>
            <w:tcMar>
              <w:top w:w="120" w:type="dxa"/>
              <w:left w:w="120" w:type="dxa"/>
              <w:bottom w:w="120" w:type="dxa"/>
              <w:right w:w="120" w:type="dxa"/>
            </w:tcMar>
          </w:tcPr>
          <w:p>
            <w:pPr>
              <w:spacing w:before="0" w:after="0"/>
              <w:jc w:val="center"/>
            </w:pPr>
            <w:r>
              <w:rPr>
                <w:rFonts w:ascii="微軟正黑體" w:hAnsi="微軟正黑體"/>
                <w:b/>
                <w:color w:val="FFFFFF"/>
                <w:sz w:val="18"/>
              </w:rPr>
              <w:t>對應年級</w:t>
            </w:r>
          </w:p>
        </w:tc>
        <w:tc>
          <w:tcPr>
            <w:tcW w:type="dxa" w:w="2160"/>
            <w:shd w:fill="1A365D"/>
            <w:tcMar>
              <w:top w:w="120" w:type="dxa"/>
              <w:left w:w="120" w:type="dxa"/>
              <w:bottom w:w="120" w:type="dxa"/>
              <w:right w:w="120" w:type="dxa"/>
            </w:tcMar>
          </w:tcPr>
          <w:p>
            <w:pPr>
              <w:spacing w:before="0" w:after="0"/>
              <w:jc w:val="center"/>
            </w:pPr>
            <w:r>
              <w:rPr>
                <w:rFonts w:ascii="微軟正黑體" w:hAnsi="微軟正黑體"/>
                <w:b/>
                <w:color w:val="FFFFFF"/>
                <w:sz w:val="18"/>
              </w:rPr>
              <w:t>認知發展核心任務</w:t>
            </w:r>
          </w:p>
        </w:tc>
        <w:tc>
          <w:tcPr>
            <w:tcW w:type="dxa" w:w="2016"/>
            <w:shd w:fill="1A365D"/>
            <w:tcMar>
              <w:top w:w="120" w:type="dxa"/>
              <w:left w:w="120" w:type="dxa"/>
              <w:bottom w:w="120" w:type="dxa"/>
              <w:right w:w="120" w:type="dxa"/>
            </w:tcMar>
          </w:tcPr>
          <w:p>
            <w:pPr>
              <w:spacing w:before="0" w:after="0"/>
              <w:jc w:val="center"/>
            </w:pPr>
            <w:r>
              <w:rPr>
                <w:rFonts w:ascii="微軟正黑體" w:hAnsi="微軟正黑體"/>
                <w:b/>
                <w:color w:val="FFFFFF"/>
                <w:sz w:val="18"/>
              </w:rPr>
              <w:t>學科閱讀與建模落腳點</w:t>
            </w:r>
          </w:p>
        </w:tc>
        <w:tc>
          <w:tcPr>
            <w:tcW w:type="dxa" w:w="2016"/>
            <w:shd w:fill="1A365D"/>
            <w:tcMar>
              <w:top w:w="120" w:type="dxa"/>
              <w:left w:w="120" w:type="dxa"/>
              <w:bottom w:w="120" w:type="dxa"/>
              <w:right w:w="120" w:type="dxa"/>
            </w:tcMar>
          </w:tcPr>
          <w:p>
            <w:pPr>
              <w:spacing w:before="0" w:after="0"/>
              <w:jc w:val="center"/>
            </w:pPr>
            <w:r>
              <w:rPr>
                <w:rFonts w:ascii="微軟正黑體" w:hAnsi="微軟正黑體"/>
                <w:b/>
                <w:color w:val="FFFFFF"/>
                <w:sz w:val="18"/>
              </w:rPr>
              <w:t>AI 與運算思維融合目標</w:t>
            </w:r>
          </w:p>
        </w:tc>
      </w:tr>
      <w:tr>
        <w:trPr>
          <w:cantSplit/>
        </w:trPr>
        <w:tc>
          <w:tcPr>
            <w:tcW w:type="dxa" w:w="1728"/>
            <w:shd w:fill="FFFFFF"/>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第一學段：</w:t>
              <w:br/>
              <w:t>啟蒙具象期</w:t>
            </w:r>
          </w:p>
        </w:tc>
        <w:tc>
          <w:tcPr>
            <w:tcW w:type="dxa" w:w="1440"/>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小學 P1–P3</w:t>
              <w:br/>
              <w:t>(低年級)</w:t>
            </w:r>
          </w:p>
        </w:tc>
        <w:tc>
          <w:tcPr>
            <w:tcW w:type="dxa" w:w="2160"/>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建立直觀數感、空間幾何感知、生活數學具象操作；激發好奇心與口頭提問習慣</w:t>
            </w:r>
          </w:p>
        </w:tc>
        <w:tc>
          <w:tcPr>
            <w:tcW w:type="dxa" w:w="2016"/>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圖畫、符號與自然語言之雙向互譯；能用完整句子口頭說明『我的算式是怎麼想出來的』</w:t>
            </w:r>
          </w:p>
        </w:tc>
        <w:tc>
          <w:tcPr>
            <w:tcW w:type="dxa" w:w="2016"/>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非插電（Unplugged）運算遊戲；分類、排序、規律發現；圖形化指令方向控制</w:t>
            </w:r>
          </w:p>
        </w:tc>
      </w:tr>
      <w:tr>
        <w:trPr>
          <w:cantSplit/>
        </w:trPr>
        <w:tc>
          <w:tcPr>
            <w:tcW w:type="dxa" w:w="1728"/>
            <w:shd w:fill="EDF2F7"/>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第二學段：</w:t>
              <w:br/>
              <w:t>過渡抽象期</w:t>
            </w:r>
          </w:p>
        </w:tc>
        <w:tc>
          <w:tcPr>
            <w:tcW w:type="dxa" w:w="1440"/>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小學 P4–P6</w:t>
              <w:br/>
              <w:t>(高年級)</w:t>
            </w:r>
          </w:p>
        </w:tc>
        <w:tc>
          <w:tcPr>
            <w:tcW w:type="dxa" w:w="2160"/>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由算術思維向初等代數思維過渡；理解分數、比例、變量；培養非連續文本圖表解讀能力</w:t>
            </w:r>
          </w:p>
        </w:tc>
        <w:tc>
          <w:tcPr>
            <w:tcW w:type="dxa" w:w="2016"/>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多模態長題幹閱讀；提取核心條件，剔除干擾噪聲；撰寫兩至三步的解題推理步驟與驗證說明</w:t>
            </w:r>
          </w:p>
        </w:tc>
        <w:tc>
          <w:tcPr>
            <w:tcW w:type="dxa" w:w="2016"/>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Scratch/Blockly 圖形化編程；模組化拆解（Decomposition）；條件分支與迴圈邏輯</w:t>
            </w:r>
          </w:p>
        </w:tc>
      </w:tr>
      <w:tr>
        <w:trPr>
          <w:cantSplit/>
        </w:trPr>
        <w:tc>
          <w:tcPr>
            <w:tcW w:type="dxa" w:w="1728"/>
            <w:shd w:fill="FFFFFF"/>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第三學段：</w:t>
              <w:br/>
              <w:t>建模分化期</w:t>
              <w:br/>
              <w:t>(PISA關鍵期)</w:t>
            </w:r>
          </w:p>
        </w:tc>
        <w:tc>
          <w:tcPr>
            <w:tcW w:type="dxa" w:w="1440"/>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初中 S1–S3</w:t>
              <w:br/>
              <w:t>(中一至中三)</w:t>
            </w:r>
          </w:p>
        </w:tc>
        <w:tc>
          <w:tcPr>
            <w:tcW w:type="dxa" w:w="2160"/>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形式邏輯推理、代數幾何嚴密論證、函數與統計建模；防範學業兩極分化斷層（S2 分水嶺）</w:t>
            </w:r>
          </w:p>
        </w:tc>
        <w:tc>
          <w:tcPr>
            <w:tcW w:type="dxa" w:w="2016"/>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學科素養閱讀（Disciplinary Literacy）；辨析 Claim-Evidence-Reasoning；真實生活情境數學建模</w:t>
            </w:r>
          </w:p>
        </w:tc>
        <w:tc>
          <w:tcPr>
            <w:tcW w:type="dxa" w:w="2016"/>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Python 基礎文字編程；運算解難（CPS）複雜動態探索；AI 批判質疑（Q-V-R-E-R 五步法）</w:t>
            </w:r>
          </w:p>
        </w:tc>
      </w:tr>
      <w:tr>
        <w:trPr>
          <w:cantSplit/>
        </w:trPr>
        <w:tc>
          <w:tcPr>
            <w:tcW w:type="dxa" w:w="1728"/>
            <w:shd w:fill="EDF2F7"/>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第四學段：</w:t>
              <w:br/>
              <w:t>深化探究期</w:t>
            </w:r>
          </w:p>
        </w:tc>
        <w:tc>
          <w:tcPr>
            <w:tcW w:type="dxa" w:w="1440"/>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高中 S4–S6</w:t>
              <w:br/>
              <w:t>(中四至中六)</w:t>
            </w:r>
          </w:p>
        </w:tc>
        <w:tc>
          <w:tcPr>
            <w:tcW w:type="dxa" w:w="2160"/>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高等數學微積分與機率統計直覺；跨學科專題研究（PBL）；複雜系統動態仿真與決策優化</w:t>
            </w:r>
          </w:p>
        </w:tc>
        <w:tc>
          <w:tcPr>
            <w:tcW w:type="dxa" w:w="2016"/>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學術論文與科普文獻研讀；高階批判性論證與假設檢驗；獨立撰寫跨學科研究專題報告</w:t>
            </w:r>
          </w:p>
        </w:tc>
        <w:tc>
          <w:tcPr>
            <w:tcW w:type="dxa" w:w="2016"/>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進階數據分析與演算法設計；利用 AI 進行研究構想輔助與代碼除錯；數位自主學習者定型</w:t>
            </w:r>
          </w:p>
        </w:tc>
      </w:tr>
    </w:tbl>
    <w:p>
      <w:pPr>
        <w:spacing w:before="0" w:after="120"/>
      </w:pPr>
    </w:p>
    <w:p>
      <w:pPr>
        <w:keepNext/>
        <w:spacing w:before="280" w:after="100"/>
      </w:pPr>
      <w:r>
        <w:rPr>
          <w:rFonts w:ascii="微軟正黑體" w:hAnsi="微軟正黑體"/>
          <w:b/>
          <w:color w:val="2B6CB0"/>
          <w:sz w:val="24"/>
        </w:rPr>
        <w:t>5.2 破解中小學貫通銜接的四大「學習斷層（Learning Chasms）」</w:t>
      </w:r>
    </w:p>
    <w:p>
      <w:pPr>
        <w:spacing w:after="100" w:line="300" w:lineRule="auto"/>
      </w:pPr>
      <w:r>
        <w:rPr>
          <w:rFonts w:ascii="微軟正黑體" w:hAnsi="微軟正黑體"/>
          <w:i w:val="0"/>
          <w:color w:val="2D3748"/>
          <w:sz w:val="20"/>
        </w:rPr>
        <w:t>透過歷年校內成績大數據分析，學生在十二年學習進程中往往面臨四大關鍵斷層，這是導致後續 PISA 成績分化的主要病灶：</w:t>
      </w:r>
    </w:p>
    <w:p>
      <w:pPr>
        <w:pStyle w:val="ListBullet"/>
        <w:spacing w:after="50" w:line="288" w:lineRule="auto"/>
      </w:pPr>
      <w:r>
        <w:rPr>
          <w:rFonts w:ascii="微軟正黑體" w:hAnsi="微軟正黑體"/>
          <w:b/>
          <w:color w:val="2D3748"/>
          <w:sz w:val="19"/>
        </w:rPr>
        <w:t>斷層一（P3 升 P4）：具象操作轉向符號抽象之斷層：</w:t>
      </w:r>
      <w:r>
        <w:rPr>
          <w:rFonts w:ascii="微軟正黑體" w:hAnsi="微軟正黑體"/>
          <w:color w:val="2D3748"/>
          <w:sz w:val="19"/>
        </w:rPr>
        <w:t>小學三年級以前以整數直觀計算為主，進入四年級後全面引入小數、分數、面積幾何與抽象文字題。學校必須在此階段強化教具操作與具象化視覺模型（如新加坡數學採用的 CPA 模型：Concrete-Pictorial-Abstract），防止低年級數學死記硬背導致的抽象斷崖。</w:t>
      </w:r>
    </w:p>
    <w:p>
      <w:pPr>
        <w:pStyle w:val="ListBullet"/>
        <w:spacing w:after="50" w:line="288" w:lineRule="auto"/>
      </w:pPr>
      <w:r>
        <w:rPr>
          <w:rFonts w:ascii="微軟正黑體" w:hAnsi="微軟正黑體"/>
          <w:b/>
          <w:color w:val="2D3748"/>
          <w:sz w:val="19"/>
        </w:rPr>
        <w:t>斷層二（P6 升 S1）：封閉題目轉向情境閱讀之斷層：</w:t>
      </w:r>
      <w:r>
        <w:rPr>
          <w:rFonts w:ascii="微軟正黑體" w:hAnsi="微軟正黑體"/>
          <w:color w:val="2D3748"/>
          <w:sz w:val="19"/>
        </w:rPr>
        <w:t>小學數學題幹簡短、條件封閉，進入初中後題目文字量激增、背景情境複雜，並融入跨學科資訊。初中教師常誤以為學生『小學沒學好算術』，實則是『學生讀不懂長題幹』。初一必須設置 4 至 6 週的『學科閱讀與情境破題銜接單元』。</w:t>
      </w:r>
    </w:p>
    <w:p>
      <w:pPr>
        <w:pStyle w:val="ListBullet"/>
        <w:spacing w:after="50" w:line="288" w:lineRule="auto"/>
      </w:pPr>
      <w:r>
        <w:rPr>
          <w:rFonts w:ascii="微軟正黑體" w:hAnsi="微軟正黑體"/>
          <w:b/>
          <w:color w:val="2D3748"/>
          <w:sz w:val="19"/>
        </w:rPr>
        <w:t>斷層三（S2 升 S3）：直觀思維轉向演繹證明之斷層（最危險分水嶺）：</w:t>
      </w:r>
      <w:r>
        <w:rPr>
          <w:rFonts w:ascii="微軟正黑體" w:hAnsi="微軟正黑體"/>
          <w:color w:val="2D3748"/>
          <w:sz w:val="19"/>
        </w:rPr>
        <w:t>初二開始大量出現平面幾何嚴密推導、一次函數與反比例函數，認知要求從『直觀計算』徹底躍升為『公理化演繹』。全校歷年數學低及格率的爆發點正位於初二上學期。此處必須實施第一道 MTSS 強制干預防線，精準補底，嚴防大批學生在此階段放棄數學。</w:t>
      </w:r>
    </w:p>
    <w:p>
      <w:pPr>
        <w:pStyle w:val="ListBullet"/>
        <w:spacing w:after="50" w:line="288" w:lineRule="auto"/>
      </w:pPr>
      <w:r>
        <w:rPr>
          <w:rFonts w:ascii="微軟正黑體" w:hAnsi="微軟正黑體"/>
          <w:b/>
          <w:color w:val="2D3748"/>
          <w:sz w:val="19"/>
        </w:rPr>
        <w:t>斷層四（S3 升 S4）：普及素養轉向專業深化之斷層：</w:t>
      </w:r>
      <w:r>
        <w:rPr>
          <w:rFonts w:ascii="微軟正黑體" w:hAnsi="微軟正黑體"/>
          <w:color w:val="2D3748"/>
          <w:sz w:val="19"/>
        </w:rPr>
        <w:t>完成義務教育階段後，高中面臨文理分流或升學專業深化。部分學生將高階數理視為畏途。高中課程必須引入真實跨學科科研專題（如智慧城市數據建模、環境感測器數據分析），讓學生體會數學與科學作為思維工具的威力。</w:t>
      </w:r>
    </w:p>
    <w:p>
      <w:pPr>
        <w:keepNext/>
        <w:spacing w:before="360" w:after="160"/>
      </w:pPr>
      <w:r>
        <w:rPr>
          <w:rFonts w:ascii="微軟正黑體" w:hAnsi="微軟正黑體"/>
          <w:b/>
          <w:color w:val="1A365D"/>
          <w:sz w:val="28"/>
        </w:rPr>
        <w:t>第六章：校本課程改革行動方案與操作工具包</w:t>
      </w:r>
    </w:p>
    <w:p>
      <w:pPr>
        <w:spacing w:after="100" w:line="300" w:lineRule="auto"/>
      </w:pPr>
      <w:r>
        <w:rPr>
          <w:rFonts w:ascii="微軟正黑體" w:hAnsi="微軟正黑體"/>
          <w:i w:val="0"/>
          <w:color w:val="2D3748"/>
          <w:sz w:val="20"/>
        </w:rPr>
        <w:t>基於前述八大維度、五大矛盾與 P1–S6 逆向設計，課程發展處制訂了涵蓋行政、教學、評量與科技的十項一體化改革行動矩陣：</w:t>
      </w:r>
    </w:p>
    <w:p>
      <w:pPr>
        <w:keepNext/>
        <w:spacing w:before="280" w:after="100"/>
      </w:pPr>
      <w:r>
        <w:rPr>
          <w:rFonts w:ascii="微軟正黑體" w:hAnsi="微軟正黑體"/>
          <w:b/>
          <w:color w:val="2B6CB0"/>
          <w:sz w:val="24"/>
        </w:rPr>
        <w:t>6.1 《PISA 2025 澳門 × 本校課程改革分析矩陣》</w:t>
      </w:r>
    </w:p>
    <w:tbl>
      <w:tblPr>
        <w:tblW w:type="auto" w:w="0"/>
        <w:jc w:val="center"/>
        <w:tblLayout w:type="fixed"/>
        <w:tblLook w:firstColumn="1" w:firstRow="1" w:lastColumn="0" w:lastRow="0" w:noHBand="0" w:noVBand="1" w:val="04A0"/>
        <w:tblBorders>
          <w:top w:val="single" w:sz="6" w:space="0" w:color="CBD5E0"/>
          <w:left w:val="none"/>
          <w:bottom w:val="single" w:sz="12" w:space="0" w:color="1A365D"/>
          <w:right w:val="none"/>
          <w:insideH w:val="single" w:sz="4" w:space="0" w:color="CBD5E0"/>
          <w:insideV w:val="none"/>
        </w:tblBorders>
      </w:tblPr>
      <w:tblGrid>
        <w:gridCol w:w="1872"/>
        <w:gridCol w:w="1872"/>
        <w:gridCol w:w="1872"/>
        <w:gridCol w:w="1872"/>
        <w:gridCol w:w="1872"/>
      </w:tblGrid>
      <w:tr>
        <w:trPr>
          <w:tblHeader/>
          <w:cantSplit/>
        </w:trPr>
        <w:tc>
          <w:tcPr>
            <w:tcW w:type="dxa" w:w="1584"/>
            <w:shd w:fill="1A365D"/>
            <w:tcMar>
              <w:top w:w="120" w:type="dxa"/>
              <w:left w:w="120" w:type="dxa"/>
              <w:bottom w:w="120" w:type="dxa"/>
              <w:right w:w="120" w:type="dxa"/>
            </w:tcMar>
          </w:tcPr>
          <w:p>
            <w:pPr>
              <w:spacing w:before="0" w:after="0"/>
              <w:jc w:val="center"/>
            </w:pPr>
            <w:r>
              <w:rPr>
                <w:rFonts w:ascii="微軟正黑體" w:hAnsi="微軟正黑體"/>
                <w:b/>
                <w:color w:val="FFFFFF"/>
                <w:sz w:val="18"/>
              </w:rPr>
              <w:t>分析維度</w:t>
            </w:r>
          </w:p>
        </w:tc>
        <w:tc>
          <w:tcPr>
            <w:tcW w:type="dxa" w:w="1872"/>
            <w:shd w:fill="1A365D"/>
            <w:tcMar>
              <w:top w:w="120" w:type="dxa"/>
              <w:left w:w="120" w:type="dxa"/>
              <w:bottom w:w="120" w:type="dxa"/>
              <w:right w:w="120" w:type="dxa"/>
            </w:tcMar>
          </w:tcPr>
          <w:p>
            <w:pPr>
              <w:spacing w:before="0" w:after="0"/>
              <w:jc w:val="center"/>
            </w:pPr>
            <w:r>
              <w:rPr>
                <w:rFonts w:ascii="微軟正黑體" w:hAnsi="微軟正黑體"/>
                <w:b/>
                <w:color w:val="FFFFFF"/>
                <w:sz w:val="18"/>
              </w:rPr>
              <w:t>澳門 PISA 2025 核心發現</w:t>
            </w:r>
          </w:p>
        </w:tc>
        <w:tc>
          <w:tcPr>
            <w:tcW w:type="dxa" w:w="2016"/>
            <w:shd w:fill="1A365D"/>
            <w:tcMar>
              <w:top w:w="120" w:type="dxa"/>
              <w:left w:w="120" w:type="dxa"/>
              <w:bottom w:w="120" w:type="dxa"/>
              <w:right w:w="120" w:type="dxa"/>
            </w:tcMar>
          </w:tcPr>
          <w:p>
            <w:pPr>
              <w:spacing w:before="0" w:after="0"/>
              <w:jc w:val="center"/>
            </w:pPr>
            <w:r>
              <w:rPr>
                <w:rFonts w:ascii="微軟正黑體" w:hAnsi="微軟正黑體"/>
                <w:b/>
                <w:color w:val="FFFFFF"/>
                <w:sz w:val="18"/>
              </w:rPr>
              <w:t>本校教務與科組必問核心問題</w:t>
            </w:r>
          </w:p>
        </w:tc>
        <w:tc>
          <w:tcPr>
            <w:tcW w:type="dxa" w:w="2160"/>
            <w:shd w:fill="1A365D"/>
            <w:tcMar>
              <w:top w:w="120" w:type="dxa"/>
              <w:left w:w="120" w:type="dxa"/>
              <w:bottom w:w="120" w:type="dxa"/>
              <w:right w:w="120" w:type="dxa"/>
            </w:tcMar>
          </w:tcPr>
          <w:p>
            <w:pPr>
              <w:spacing w:before="0" w:after="0"/>
              <w:jc w:val="center"/>
            </w:pPr>
            <w:r>
              <w:rPr>
                <w:rFonts w:ascii="微軟正黑體" w:hAnsi="微軟正黑體"/>
                <w:b/>
                <w:color w:val="FFFFFF"/>
                <w:sz w:val="18"/>
              </w:rPr>
              <w:t>具體校本改革行動方案</w:t>
            </w:r>
          </w:p>
        </w:tc>
        <w:tc>
          <w:tcPr>
            <w:tcW w:type="dxa" w:w="1728"/>
            <w:shd w:fill="1A365D"/>
            <w:tcMar>
              <w:top w:w="120" w:type="dxa"/>
              <w:left w:w="120" w:type="dxa"/>
              <w:bottom w:w="120" w:type="dxa"/>
              <w:right w:w="120" w:type="dxa"/>
            </w:tcMar>
          </w:tcPr>
          <w:p>
            <w:pPr>
              <w:spacing w:before="0" w:after="0"/>
              <w:jc w:val="center"/>
            </w:pPr>
            <w:r>
              <w:rPr>
                <w:rFonts w:ascii="微軟正黑體" w:hAnsi="微軟正黑體"/>
                <w:b/>
                <w:color w:val="FFFFFF"/>
                <w:sz w:val="18"/>
              </w:rPr>
              <w:t>責任科組 / 檢驗指標</w:t>
            </w:r>
          </w:p>
        </w:tc>
      </w:tr>
      <w:tr>
        <w:trPr>
          <w:cantSplit/>
        </w:trPr>
        <w:tc>
          <w:tcPr>
            <w:tcW w:type="dxa" w:w="1584"/>
            <w:shd w:fill="FFFFFF"/>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Achievement</w:t>
              <w:br/>
              <w:t>(學業成就)</w:t>
            </w:r>
          </w:p>
        </w:tc>
        <w:tc>
          <w:tcPr>
            <w:tcW w:type="dxa" w:w="187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數理均分全球第3，維持超高水準，但增長進入高原期</w:t>
            </w:r>
          </w:p>
        </w:tc>
        <w:tc>
          <w:tcPr>
            <w:tcW w:type="dxa" w:w="2016"/>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本校數理優勢是否在各年級穩定保持？學科分化從何時開始？</w:t>
            </w:r>
          </w:p>
        </w:tc>
        <w:tc>
          <w:tcPr>
            <w:tcW w:type="dxa" w:w="2160"/>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構建 P1–S6 縱向螺旋課程地圖，確保核心概念連續推進，清除學段重複與斷層。</w:t>
            </w:r>
          </w:p>
        </w:tc>
        <w:tc>
          <w:tcPr>
            <w:tcW w:type="dxa" w:w="1728"/>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數學組 / 理科組</w:t>
              <w:br/>
              <w:t>年級橫向與縱向增值評量</w:t>
            </w:r>
          </w:p>
        </w:tc>
      </w:tr>
      <w:tr>
        <w:trPr>
          <w:cantSplit/>
        </w:trPr>
        <w:tc>
          <w:tcPr>
            <w:tcW w:type="dxa" w:w="1584"/>
            <w:shd w:fill="EDF2F7"/>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Low Performers</w:t>
              <w:br/>
              <w:t>(低成就學生)</w:t>
            </w:r>
          </w:p>
        </w:tc>
        <w:tc>
          <w:tcPr>
            <w:tcW w:type="dxa" w:w="1872"/>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科學 &lt;L2 約 7.9%，數學底層分佈存在擴大隱憂</w:t>
            </w:r>
          </w:p>
        </w:tc>
        <w:tc>
          <w:tcPr>
            <w:tcW w:type="dxa" w:w="2016"/>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校內後 20% 的學生究竟是誰？其未掌握的共通概念是什麼？</w:t>
            </w:r>
          </w:p>
        </w:tc>
        <w:tc>
          <w:tcPr>
            <w:tcW w:type="dxa" w:w="2160"/>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全面建立 MTSS 多層級支援架構，實施每週針對性小組補底，嚴控全校學業不及格率。</w:t>
            </w:r>
          </w:p>
        </w:tc>
        <w:tc>
          <w:tcPr>
            <w:tcW w:type="dxa" w:w="1728"/>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教務處 / 學生輔導組</w:t>
              <w:br/>
              <w:t>後 20% 脫困率與及格率</w:t>
            </w:r>
          </w:p>
        </w:tc>
      </w:tr>
      <w:tr>
        <w:trPr>
          <w:cantSplit/>
        </w:trPr>
        <w:tc>
          <w:tcPr>
            <w:tcW w:type="dxa" w:w="1584"/>
            <w:shd w:fill="FFFFFF"/>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Top Performers</w:t>
              <w:br/>
              <w:t>(高成就學生)</w:t>
            </w:r>
          </w:p>
        </w:tc>
        <w:tc>
          <w:tcPr>
            <w:tcW w:type="dxa" w:w="187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數學 Level 5-6 達 29%，CPS 高表現達 53.7%，尖子群龐大</w:t>
            </w:r>
          </w:p>
        </w:tc>
        <w:tc>
          <w:tcPr>
            <w:tcW w:type="dxa" w:w="2016"/>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校內頂尖 20% 學生是否在課堂上感到吃不飽？高階題目是否足夠？</w:t>
            </w:r>
          </w:p>
        </w:tc>
        <w:tc>
          <w:tcPr>
            <w:tcW w:type="dxa" w:w="2160"/>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設立『拔尖培優專項模組』，引進高等數學建模、奧賽訓練及跨學科專題研究（PBL）。</w:t>
            </w:r>
          </w:p>
        </w:tc>
        <w:tc>
          <w:tcPr>
            <w:tcW w:type="dxa" w:w="1728"/>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資優教育組 / 各科組</w:t>
              <w:br/>
              <w:t>高階情境題掌握率 &gt;80%</w:t>
            </w:r>
          </w:p>
        </w:tc>
      </w:tr>
      <w:tr>
        <w:trPr>
          <w:cantSplit/>
        </w:trPr>
        <w:tc>
          <w:tcPr>
            <w:tcW w:type="dxa" w:w="1584"/>
            <w:shd w:fill="EDF2F7"/>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Reading</w:t>
              <w:br/>
              <w:t>(閱讀素養)</w:t>
            </w:r>
          </w:p>
        </w:tc>
        <w:tc>
          <w:tcPr>
            <w:tcW w:type="dxa" w:w="1872"/>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顯著下滑 9 分（降至 501），成為四大領域中最脆弱短板</w:t>
            </w:r>
          </w:p>
        </w:tc>
        <w:tc>
          <w:tcPr>
            <w:tcW w:type="dxa" w:w="2016"/>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非語文科（數理社）課堂與考卷中，學科閱讀素養是否長期被忽視？</w:t>
            </w:r>
          </w:p>
        </w:tc>
        <w:tc>
          <w:tcPr>
            <w:tcW w:type="dxa" w:w="2160"/>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發起『全校學科閱讀素養（Disciplinary Literacy）』運動，考卷引入非連續文本與情境辨析。</w:t>
            </w:r>
          </w:p>
        </w:tc>
        <w:tc>
          <w:tcPr>
            <w:tcW w:type="dxa" w:w="1728"/>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全校各學科組</w:t>
              <w:br/>
              <w:t>非連續文本命題佔比 ≥30%</w:t>
            </w:r>
          </w:p>
        </w:tc>
      </w:tr>
      <w:tr>
        <w:trPr>
          <w:cantSplit/>
        </w:trPr>
        <w:tc>
          <w:tcPr>
            <w:tcW w:type="dxa" w:w="1584"/>
            <w:shd w:fill="FFFFFF"/>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Equity</w:t>
              <w:br/>
              <w:t>(教育公平)</w:t>
            </w:r>
          </w:p>
        </w:tc>
        <w:tc>
          <w:tcPr>
            <w:tcW w:type="dxa" w:w="187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總體公平極佳（ESCS變異僅4%），但優勢與弱勢差距歷年有擴大跡象</w:t>
            </w:r>
          </w:p>
        </w:tc>
        <w:tc>
          <w:tcPr>
            <w:tcW w:type="dxa" w:w="2016"/>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校內弱勢家庭背景學生是否在進階選修與科技活動中處於邊緣？</w:t>
            </w:r>
          </w:p>
        </w:tc>
        <w:tc>
          <w:tcPr>
            <w:tcW w:type="dxa" w:w="2160"/>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實施弱勢學生學術扶持計劃，提供免費校內課後數位學習資源與學業導師配對。</w:t>
            </w:r>
          </w:p>
        </w:tc>
        <w:tc>
          <w:tcPr>
            <w:tcW w:type="dxa" w:w="1728"/>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教務處 / 總務處</w:t>
              <w:br/>
              <w:t>弱勢學生高表現進展追蹤</w:t>
            </w:r>
          </w:p>
        </w:tc>
      </w:tr>
      <w:tr>
        <w:trPr>
          <w:cantSplit/>
        </w:trPr>
        <w:tc>
          <w:tcPr>
            <w:tcW w:type="dxa" w:w="1584"/>
            <w:shd w:fill="EDF2F7"/>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CPS</w:t>
              <w:br/>
              <w:t>(運算解難)</w:t>
            </w:r>
          </w:p>
        </w:tc>
        <w:tc>
          <w:tcPr>
            <w:tcW w:type="dxa" w:w="1872"/>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平均 572 分全球第一，展現運算工具解難之驚人潛力</w:t>
            </w:r>
          </w:p>
        </w:tc>
        <w:tc>
          <w:tcPr>
            <w:tcW w:type="dxa" w:w="2016"/>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常態課程是否常態化培養學生的演算法思維、抽象建模與系統除錯？</w:t>
            </w:r>
          </w:p>
        </w:tc>
        <w:tc>
          <w:tcPr>
            <w:tcW w:type="dxa" w:w="2160"/>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從小學三年級起普及圖形化與文字編程，將運算思維工具嵌入數學與科學專題探究。</w:t>
            </w:r>
          </w:p>
        </w:tc>
        <w:tc>
          <w:tcPr>
            <w:tcW w:type="dxa" w:w="1728"/>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資訊科技組 / 跨學科組</w:t>
              <w:br/>
              <w:t>全校編程與CPS專案普及率</w:t>
            </w:r>
          </w:p>
        </w:tc>
      </w:tr>
      <w:tr>
        <w:trPr>
          <w:cantSplit/>
        </w:trPr>
        <w:tc>
          <w:tcPr>
            <w:tcW w:type="dxa" w:w="1584"/>
            <w:shd w:fill="FFFFFF"/>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Engagement</w:t>
              <w:br/>
              <w:t>(學習投入)</w:t>
            </w:r>
          </w:p>
        </w:tc>
        <w:tc>
          <w:tcPr>
            <w:tcW w:type="dxa" w:w="187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僅 58.1% 喜歡在校學新事物（落後 OECD 逾 10%），學習歸屬感低</w:t>
            </w:r>
          </w:p>
        </w:tc>
        <w:tc>
          <w:tcPr>
            <w:tcW w:type="dxa" w:w="2016"/>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高分學生是否真正熱愛所學？課堂是否充滿枯燥的被動刷題？</w:t>
            </w:r>
          </w:p>
        </w:tc>
        <w:tc>
          <w:tcPr>
            <w:tcW w:type="dxa" w:w="2160"/>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推動課堂探究教學法，增加情境體驗、動手實驗與學生自主選題，重構學習內在驅動力。</w:t>
            </w:r>
          </w:p>
        </w:tc>
        <w:tc>
          <w:tcPr>
            <w:tcW w:type="dxa" w:w="1728"/>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教研組 / 班主任團隊</w:t>
              <w:br/>
              <w:t>學生課堂投入度與滿意度</w:t>
            </w:r>
          </w:p>
        </w:tc>
      </w:tr>
      <w:tr>
        <w:trPr>
          <w:cantSplit/>
        </w:trPr>
        <w:tc>
          <w:tcPr>
            <w:tcW w:type="dxa" w:w="1584"/>
            <w:shd w:fill="EDF2F7"/>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AI Pedagogy</w:t>
              <w:br/>
              <w:t>(人工智慧)</w:t>
            </w:r>
          </w:p>
        </w:tc>
        <w:tc>
          <w:tcPr>
            <w:tcW w:type="dxa" w:w="1872"/>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67% 每週使用 AI，40% 用於作業初稿，存在高度認知外包風險</w:t>
            </w:r>
          </w:p>
        </w:tc>
        <w:tc>
          <w:tcPr>
            <w:tcW w:type="dxa" w:w="2016"/>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學生是在利用 AI 取代思考，還是利用 AI 拓展深度思維？</w:t>
            </w:r>
          </w:p>
        </w:tc>
        <w:tc>
          <w:tcPr>
            <w:tcW w:type="dxa" w:w="2160"/>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制訂校本生成式 AI 學習指引，推行 Q-V-R-E-R 批判思考五步法，禁止未標註之答案搬運。</w:t>
            </w:r>
          </w:p>
        </w:tc>
        <w:tc>
          <w:tcPr>
            <w:tcW w:type="dxa" w:w="1728"/>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課程發展處 / 資訊科技組</w:t>
              <w:br/>
              <w:t>AI 批判性使用作業認證</w:t>
            </w:r>
          </w:p>
        </w:tc>
      </w:tr>
      <w:tr>
        <w:trPr>
          <w:cantSplit/>
        </w:trPr>
        <w:tc>
          <w:tcPr>
            <w:tcW w:type="dxa" w:w="1584"/>
            <w:shd w:fill="FFFFFF"/>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Family</w:t>
              <w:br/>
              <w:t>(家庭支持)</w:t>
            </w:r>
          </w:p>
        </w:tc>
        <w:tc>
          <w:tcPr>
            <w:tcW w:type="dxa" w:w="187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家庭學術溝通與情感支持指標相對落後</w:t>
            </w:r>
          </w:p>
        </w:tc>
        <w:tc>
          <w:tcPr>
            <w:tcW w:type="dxa" w:w="2016"/>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家長是否只關心排名分數，忽視了心理韌性與探索興趣的培養？</w:t>
            </w:r>
          </w:p>
        </w:tc>
        <w:tc>
          <w:tcPr>
            <w:tcW w:type="dxa" w:w="2160"/>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舉辦『現代素養與家庭共育工作坊』，指導家長從『催促分數』轉向『傾聽與探究引導』。</w:t>
            </w:r>
          </w:p>
        </w:tc>
        <w:tc>
          <w:tcPr>
            <w:tcW w:type="dxa" w:w="1728"/>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家校協同委員會</w:t>
              <w:br/>
              <w:t>家長工作坊參與度與回饋</w:t>
            </w:r>
          </w:p>
        </w:tc>
      </w:tr>
      <w:tr>
        <w:trPr>
          <w:cantSplit/>
        </w:trPr>
        <w:tc>
          <w:tcPr>
            <w:tcW w:type="dxa" w:w="1584"/>
            <w:shd w:fill="EDF2F7"/>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Digital Policy</w:t>
              <w:br/>
              <w:t>(數位管理)</w:t>
            </w:r>
          </w:p>
        </w:tc>
        <w:tc>
          <w:tcPr>
            <w:tcW w:type="dxa" w:w="1872"/>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課堂受數位干擾學生科學重挫 24 分，負面衝擊極具破壞性</w:t>
            </w:r>
          </w:p>
        </w:tc>
        <w:tc>
          <w:tcPr>
            <w:tcW w:type="dxa" w:w="2016"/>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校內課堂平板/電腦使用是否存在注意力渙散與隱蔽玩樂？</w:t>
            </w:r>
          </w:p>
        </w:tc>
        <w:tc>
          <w:tcPr>
            <w:tcW w:type="dxa" w:w="2160"/>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實施課堂數位專注『3D 策略』（任務設計、螢幕監管、軌跡診斷），杜絕非學習性干擾。</w:t>
            </w:r>
          </w:p>
        </w:tc>
        <w:tc>
          <w:tcPr>
            <w:tcW w:type="dxa" w:w="1728"/>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教導處 / 全體科任教師</w:t>
              <w:br/>
              <w:t>課堂專注度與設備違規率</w:t>
            </w:r>
          </w:p>
        </w:tc>
      </w:tr>
    </w:tbl>
    <w:p>
      <w:pPr>
        <w:spacing w:before="0" w:after="120"/>
      </w:pPr>
    </w:p>
    <w:p>
      <w:pPr>
        <w:keepNext/>
        <w:spacing w:before="280" w:after="100"/>
      </w:pPr>
      <w:r>
        <w:rPr>
          <w:rFonts w:ascii="微軟正黑體" w:hAnsi="微軟正黑體"/>
          <w:b/>
          <w:color w:val="2B6CB0"/>
          <w:sz w:val="24"/>
        </w:rPr>
        <w:t>6.2 校內教學評量儀表板（Assessment Dashboard）升級方案</w:t>
      </w:r>
    </w:p>
    <w:p>
      <w:pPr>
        <w:spacing w:after="100" w:line="300" w:lineRule="auto"/>
      </w:pPr>
      <w:r>
        <w:rPr>
          <w:rFonts w:ascii="微軟正黑體" w:hAnsi="微軟正黑體"/>
          <w:i w:val="0"/>
          <w:color w:val="2D3748"/>
          <w:sz w:val="20"/>
        </w:rPr>
        <w:t>傳統成績單只呈現總分與全級排名，無法為課程改善提供任何診斷資訊。教務處將自 2026/2027 學年第二學期起，全面上線新型『素養導向教學評量儀表板』：</w:t>
      </w:r>
    </w:p>
    <w:p>
      <w:pPr>
        <w:pStyle w:val="ListBullet"/>
        <w:spacing w:after="50" w:line="288" w:lineRule="auto"/>
      </w:pPr>
      <w:r>
        <w:rPr>
          <w:rFonts w:ascii="微軟正黑體" w:hAnsi="微軟正黑體"/>
          <w:b/>
          <w:color w:val="2D3748"/>
          <w:sz w:val="19"/>
        </w:rPr>
        <w:t>指標一：P10 / P90 離散度監控：</w:t>
      </w:r>
      <w:r>
        <w:rPr>
          <w:rFonts w:ascii="微軟正黑體" w:hAnsi="微軟正黑體"/>
          <w:color w:val="2D3748"/>
          <w:sz w:val="19"/>
        </w:rPr>
        <w:t>以盒鬚圖（Boxplot）呈現各班成績分佈，自動標出 P10（低分底線）、P50（中位數）與 P90（高分天花板）。考核指標以『P10 向上躍升幅度』與『四分位距（IQR）收斂度』為核心，嚴防兩極分化。</w:t>
      </w:r>
    </w:p>
    <w:p>
      <w:pPr>
        <w:pStyle w:val="ListBullet"/>
        <w:spacing w:after="50" w:line="288" w:lineRule="auto"/>
      </w:pPr>
      <w:r>
        <w:rPr>
          <w:rFonts w:ascii="微軟正黑體" w:hAnsi="微軟正黑體"/>
          <w:b/>
          <w:color w:val="2D3748"/>
          <w:sz w:val="19"/>
        </w:rPr>
        <w:t>指標二：低成就門檻（Level &lt;2）預警機制：</w:t>
      </w:r>
      <w:r>
        <w:rPr>
          <w:rFonts w:ascii="微軟正黑體" w:hAnsi="微軟正黑體"/>
          <w:color w:val="2D3748"/>
          <w:sz w:val="19"/>
        </w:rPr>
        <w:t>建立全校學業紅黃綠燈預警系統，凡單元評量連續兩次落入後 20%（相當於 PISA Level &lt;2）者，系統自動觸發預警並推送個人化補底任務單。</w:t>
      </w:r>
    </w:p>
    <w:p>
      <w:pPr>
        <w:pStyle w:val="ListBullet"/>
        <w:spacing w:after="50" w:line="288" w:lineRule="auto"/>
      </w:pPr>
      <w:r>
        <w:rPr>
          <w:rFonts w:ascii="微軟正黑體" w:hAnsi="微軟正黑體"/>
          <w:b/>
          <w:color w:val="2D3748"/>
          <w:sz w:val="19"/>
        </w:rPr>
        <w:t>指標三：試卷情境題與學科閱讀權重審查：</w:t>
      </w:r>
      <w:r>
        <w:rPr>
          <w:rFonts w:ascii="微軟正黑體" w:hAnsi="微軟正黑體"/>
          <w:color w:val="2D3748"/>
          <w:sz w:val="19"/>
        </w:rPr>
        <w:t>段考與期末考命題嚴格執行『情境化、開放性、論證性試題佔比不低於 35%』的硬性規定。每道情境大題需明確標註考查的認知維度（Formulate、Employ 或 Interpret），建立題庫素養雙向細目表。</w:t>
      </w:r>
    </w:p>
    <w:p>
      <w:pPr>
        <w:keepNext/>
        <w:spacing w:before="280" w:after="100"/>
      </w:pPr>
      <w:r>
        <w:rPr>
          <w:rFonts w:ascii="微軟正黑體" w:hAnsi="微軟正黑體"/>
          <w:b/>
          <w:color w:val="2B6CB0"/>
          <w:sz w:val="24"/>
        </w:rPr>
        <w:t>6.3 MTSS（多層級支援架構）實施細則：提升上限，守住底線</w:t>
      </w:r>
    </w:p>
    <w:p>
      <w:pPr>
        <w:spacing w:after="100" w:line="300" w:lineRule="auto"/>
      </w:pPr>
      <w:r>
        <w:rPr>
          <w:rFonts w:ascii="微軟正黑體" w:hAnsi="微軟正黑體"/>
          <w:i w:val="0"/>
          <w:color w:val="2D3748"/>
          <w:sz w:val="20"/>
        </w:rPr>
        <w:t>為破解『拔尖 vs 保底』的二元對立，學校引進國際通行的 MTSS（Multi-Tiered System of Supports）三層加一層干預架構：</w:t>
      </w:r>
    </w:p>
    <w:p>
      <w:pPr>
        <w:pStyle w:val="ListBullet"/>
        <w:spacing w:after="50" w:line="288" w:lineRule="auto"/>
      </w:pPr>
      <w:r>
        <w:rPr>
          <w:rFonts w:ascii="微軟正黑體" w:hAnsi="微軟正黑體"/>
          <w:b/>
          <w:color w:val="2D3748"/>
          <w:sz w:val="19"/>
        </w:rPr>
        <w:t>Tier 1（第一層：普及性高質量常態課堂）：</w:t>
      </w:r>
      <w:r>
        <w:rPr>
          <w:rFonts w:ascii="微軟正黑體" w:hAnsi="微軟正黑體"/>
          <w:color w:val="2D3748"/>
          <w:sz w:val="19"/>
        </w:rPr>
        <w:t>覆蓋全校 100% 學生。全面落實『通用設計學習法（Universal Design for Learning, UDL）』，課堂提供多種資訊呈現方式（文本、圖表、動態模擬）與多樣化表達途徑，確保 80% 以上學生在常態課堂完成基礎素養達標。</w:t>
      </w:r>
    </w:p>
    <w:p>
      <w:pPr>
        <w:pStyle w:val="ListBullet"/>
        <w:spacing w:after="50" w:line="288" w:lineRule="auto"/>
      </w:pPr>
      <w:r>
        <w:rPr>
          <w:rFonts w:ascii="微軟正黑體" w:hAnsi="微軟正黑體"/>
          <w:b/>
          <w:color w:val="2D3748"/>
          <w:sz w:val="19"/>
        </w:rPr>
        <w:t>Tier 2（第二層：針對性小組靶向補強）：</w:t>
      </w:r>
      <w:r>
        <w:rPr>
          <w:rFonts w:ascii="微軟正黑體" w:hAnsi="微軟正黑體"/>
          <w:color w:val="2D3748"/>
          <w:sz w:val="19"/>
        </w:rPr>
        <w:t>針對全校後 15% 至 20% 處於學業邊緣的學生。每週開設 2 節固定時段的『學科閱讀與建模思維強化小組』。以 4–6 人微型小組開展精準支架教學，重點攻克概念盲區與題幹閱讀障礙，阻斷分化。</w:t>
      </w:r>
    </w:p>
    <w:p>
      <w:pPr>
        <w:pStyle w:val="ListBullet"/>
        <w:spacing w:after="50" w:line="288" w:lineRule="auto"/>
      </w:pPr>
      <w:r>
        <w:rPr>
          <w:rFonts w:ascii="微軟正黑體" w:hAnsi="微軟正黑體"/>
          <w:b/>
          <w:color w:val="2D3748"/>
          <w:sz w:val="19"/>
        </w:rPr>
        <w:t>Tier 3（第三層：個別化深度專業介入）：</w:t>
      </w:r>
      <w:r>
        <w:rPr>
          <w:rFonts w:ascii="微軟正黑體" w:hAnsi="微軟正黑體"/>
          <w:color w:val="2D3748"/>
          <w:sz w:val="19"/>
        </w:rPr>
        <w:t>針對後 3% 至 5% 存在嚴重學習困難的學生。啟動駐校特教老師、心理輔導員與學科名師的一對一個別化教育方案（IEP），進行深度認知診斷與心理減壓，提供定製化支持。</w:t>
      </w:r>
    </w:p>
    <w:p>
      <w:pPr>
        <w:pStyle w:val="ListBullet"/>
        <w:spacing w:after="50" w:line="288" w:lineRule="auto"/>
      </w:pPr>
      <w:r>
        <w:rPr>
          <w:rFonts w:ascii="微軟正黑體" w:hAnsi="微軟正黑體"/>
          <w:b/>
          <w:color w:val="2D3748"/>
          <w:sz w:val="19"/>
        </w:rPr>
        <w:t>Enrichment Tier（第四層：卓越拔尖培優機制）：</w:t>
      </w:r>
      <w:r>
        <w:rPr>
          <w:rFonts w:ascii="微軟正黑體" w:hAnsi="微軟正黑體"/>
          <w:color w:val="2D3748"/>
          <w:sz w:val="19"/>
        </w:rPr>
        <w:t>針對前 15% 至 20% 學有餘力的拔尖學生。開設『高階數理探究』、『跨學科 AI 與科研創新專案』及頂尖賽事工作坊，由校內科研導師帶領進行開放式研究，激發學術潛力。</w:t>
      </w:r>
    </w:p>
    <w:p>
      <w:pPr>
        <w:keepNext/>
        <w:spacing w:before="280" w:after="100"/>
      </w:pPr>
      <w:r>
        <w:rPr>
          <w:rFonts w:ascii="微軟正黑體" w:hAnsi="微軟正黑體"/>
          <w:b/>
          <w:color w:val="2B6CB0"/>
          <w:sz w:val="24"/>
        </w:rPr>
        <w:t>6.4 校本「AI 賦能課堂與批判性思維五步法」（Q-V-R-E-R 模式）</w:t>
      </w:r>
    </w:p>
    <w:p>
      <w:pPr>
        <w:spacing w:after="100" w:line="300" w:lineRule="auto"/>
      </w:pPr>
      <w:r>
        <w:rPr>
          <w:rFonts w:ascii="微軟正黑體" w:hAnsi="微軟正黑體"/>
          <w:i w:val="0"/>
          <w:color w:val="2D3748"/>
          <w:sz w:val="20"/>
        </w:rPr>
        <w:t>面對澳門 67% 的極高 AI 使用率，單純禁止如同築堤擋水。課程發展處特為全校師生制定『Q-V-R-E-R 批判思考五步法』，要求全校專題作業與課後探究必須遵循此範式：</w:t>
      </w:r>
    </w:p>
    <w:p>
      <w:pPr>
        <w:pStyle w:val="ListBullet"/>
        <w:spacing w:after="50" w:line="288" w:lineRule="auto"/>
      </w:pPr>
      <w:r>
        <w:rPr>
          <w:rFonts w:ascii="微軟正黑體" w:hAnsi="微軟正黑體"/>
          <w:b/>
          <w:color w:val="2D3748"/>
          <w:sz w:val="19"/>
        </w:rPr>
        <w:t>步驟一：Questioning（精確提問與情境拆解）：</w:t>
      </w:r>
      <w:r>
        <w:rPr>
          <w:rFonts w:ascii="微軟正黑體" w:hAnsi="微軟正黑體"/>
          <w:color w:val="2D3748"/>
          <w:sz w:val="19"/>
        </w:rPr>
        <w:t>學生不直接向 AI 索取最終答案，而是學習將複雜現實問題拆解為具備清晰約束條件、背景設定與邏輯邊界的結構化提示詞（Prompts）。</w:t>
      </w:r>
    </w:p>
    <w:p>
      <w:pPr>
        <w:pStyle w:val="ListBullet"/>
        <w:spacing w:after="50" w:line="288" w:lineRule="auto"/>
      </w:pPr>
      <w:r>
        <w:rPr>
          <w:rFonts w:ascii="微軟正黑體" w:hAnsi="微軟正黑體"/>
          <w:b/>
          <w:color w:val="2D3748"/>
          <w:sz w:val="19"/>
        </w:rPr>
        <w:t>步驟二：Verification（跨源交叉驗證）：</w:t>
      </w:r>
      <w:r>
        <w:rPr>
          <w:rFonts w:ascii="微軟正黑體" w:hAnsi="微軟正黑體"/>
          <w:color w:val="2D3748"/>
          <w:sz w:val="19"/>
        </w:rPr>
        <w:t>嚴格禁止盲信 AI 輸出。學生必須運用權威教材、學術數據庫或物理實驗，對 AI 提供的數據、引文與事實進行跨源交叉查核（Cross-Verification），尋找幻覺（Hallucination）漏洞。</w:t>
      </w:r>
    </w:p>
    <w:p>
      <w:pPr>
        <w:pStyle w:val="ListBullet"/>
        <w:spacing w:after="50" w:line="288" w:lineRule="auto"/>
      </w:pPr>
      <w:r>
        <w:rPr>
          <w:rFonts w:ascii="微軟正黑體" w:hAnsi="微軟正黑體"/>
          <w:b/>
          <w:color w:val="2D3748"/>
          <w:sz w:val="19"/>
        </w:rPr>
        <w:t>步驟三：Reasoning（獨立推理與思維對照）：</w:t>
      </w:r>
      <w:r>
        <w:rPr>
          <w:rFonts w:ascii="微軟正黑體" w:hAnsi="微軟正黑體"/>
          <w:color w:val="2D3748"/>
          <w:sz w:val="19"/>
        </w:rPr>
        <w:t>學生需關閉 AI 視窗，用自己的邏輯語言手寫或重述解題推理路徑（Human-in-the-loop），對比自身思路與 AI 演算路徑的優劣，強化大腦內部的神經突觸連接。</w:t>
      </w:r>
    </w:p>
    <w:p>
      <w:pPr>
        <w:pStyle w:val="ListBullet"/>
        <w:spacing w:after="50" w:line="288" w:lineRule="auto"/>
      </w:pPr>
      <w:r>
        <w:rPr>
          <w:rFonts w:ascii="微軟正黑體" w:hAnsi="微軟正黑體"/>
          <w:b/>
          <w:color w:val="2D3748"/>
          <w:sz w:val="19"/>
        </w:rPr>
        <w:t>步驟四：Evaluation（批判評估與邊界探討）：</w:t>
      </w:r>
      <w:r>
        <w:rPr>
          <w:rFonts w:ascii="微軟正黑體" w:hAnsi="微軟正黑體"/>
          <w:color w:val="2D3748"/>
          <w:sz w:val="19"/>
        </w:rPr>
        <w:t>批判性評估 AI 解法的效率、局限性、假設前提與倫理邊界。追問：『這個模型適用於所有極端情況嗎？有沒有更簡潔的思維模型？』</w:t>
      </w:r>
    </w:p>
    <w:p>
      <w:pPr>
        <w:pStyle w:val="ListBullet"/>
        <w:spacing w:after="50" w:line="288" w:lineRule="auto"/>
      </w:pPr>
      <w:r>
        <w:rPr>
          <w:rFonts w:ascii="微軟正黑體" w:hAnsi="微軟正黑體"/>
          <w:b/>
          <w:color w:val="2D3748"/>
          <w:sz w:val="19"/>
        </w:rPr>
        <w:t>步驟五：Reflection（元認知反思與知識內化）：</w:t>
      </w:r>
      <w:r>
        <w:rPr>
          <w:rFonts w:ascii="微軟正黑體" w:hAnsi="微軟正黑體"/>
          <w:color w:val="2D3748"/>
          <w:sz w:val="19"/>
        </w:rPr>
        <w:t>在作業末尾撰寫 150 字的『AI 協作反思日記』，詳述：我向 AI 提出了什麼質疑？AI 哪裡犯了錯？我在這場對話中學到了什麼元認知策略？</w:t>
      </w:r>
    </w:p>
    <w:p>
      <w:pPr>
        <w:keepNext/>
        <w:spacing w:before="280" w:after="100"/>
      </w:pPr>
      <w:r>
        <w:rPr>
          <w:rFonts w:ascii="微軟正黑體" w:hAnsi="微軟正黑體"/>
          <w:b/>
          <w:color w:val="2B6CB0"/>
          <w:sz w:val="24"/>
        </w:rPr>
        <w:t>6.5 課堂數位設備防干擾管理守則（3D 專注策略）</w:t>
      </w:r>
    </w:p>
    <w:p>
      <w:pPr>
        <w:spacing w:after="100" w:line="300" w:lineRule="auto"/>
      </w:pPr>
      <w:r>
        <w:rPr>
          <w:rFonts w:ascii="微軟正黑體" w:hAnsi="微軟正黑體"/>
          <w:i w:val="0"/>
          <w:color w:val="2D3748"/>
          <w:sz w:val="20"/>
        </w:rPr>
        <w:t>針對澳門受到課堂數位干擾學生科學重挫 24 分的慘痛教訓，學校嚴禁『無目的、無約束的設備自由使用』，全面實施 3D 專注策略：</w:t>
      </w:r>
    </w:p>
    <w:p>
      <w:pPr>
        <w:pStyle w:val="ListBullet"/>
        <w:spacing w:after="50" w:line="288" w:lineRule="auto"/>
      </w:pPr>
      <w:r>
        <w:rPr>
          <w:rFonts w:ascii="微軟正黑體" w:hAnsi="微軟正黑體"/>
          <w:b/>
          <w:color w:val="2D3748"/>
          <w:sz w:val="19"/>
        </w:rPr>
        <w:t>① Design（任務驅動設計）：</w:t>
      </w:r>
      <w:r>
        <w:rPr>
          <w:rFonts w:ascii="微軟正黑體" w:hAnsi="微軟正黑體"/>
          <w:color w:val="2D3748"/>
          <w:sz w:val="19"/>
        </w:rPr>
        <w:t>課堂使用平板或電腦必須對應明確的『微任務單（Micro-tasks）』，每次數位操作時間控制在 10–15 分鐘以內，任務完成即刻切換回板書與同儕研討，杜絕長時間盯屏導致的思維游離。</w:t>
      </w:r>
    </w:p>
    <w:p>
      <w:pPr>
        <w:pStyle w:val="ListBullet"/>
        <w:spacing w:after="50" w:line="288" w:lineRule="auto"/>
      </w:pPr>
      <w:r>
        <w:rPr>
          <w:rFonts w:ascii="微軟正黑體" w:hAnsi="微軟正黑體"/>
          <w:b/>
          <w:color w:val="2D3748"/>
          <w:sz w:val="19"/>
        </w:rPr>
        <w:t>② Discipline（課堂紀律剛性約束）：</w:t>
      </w:r>
      <w:r>
        <w:rPr>
          <w:rFonts w:ascii="微軟正黑體" w:hAnsi="微軟正黑體"/>
          <w:color w:val="2D3748"/>
          <w:sz w:val="19"/>
        </w:rPr>
        <w:t>制定嚴格的『螢幕可見原則（Screens Up / Screens Down）』。教師下達指令時全員合上螢幕；教導處部署課堂集中管理軟體，屏蔽非教學網站與社群推播，實施課堂物理與技術雙重專注防護。</w:t>
      </w:r>
    </w:p>
    <w:p>
      <w:pPr>
        <w:pStyle w:val="ListBullet"/>
        <w:spacing w:after="50" w:line="288" w:lineRule="auto"/>
      </w:pPr>
      <w:r>
        <w:rPr>
          <w:rFonts w:ascii="微軟正黑體" w:hAnsi="微軟正黑體"/>
          <w:b/>
          <w:color w:val="2D3748"/>
          <w:sz w:val="19"/>
        </w:rPr>
        <w:t>③ Diagnostic（軌跡監控與學情診斷）：</w:t>
      </w:r>
      <w:r>
        <w:rPr>
          <w:rFonts w:ascii="微軟正黑體" w:hAnsi="微軟正黑體"/>
          <w:color w:val="2D3748"/>
          <w:sz w:val="19"/>
        </w:rPr>
        <w:t>利用智慧校園後台大數據，監控各班設備使用時長與課堂互動日誌。對設備使用率過高但成績下滑的班級進行個別化教學法診斷與課堂視導。</w:t>
      </w:r>
    </w:p>
    <w:p>
      <w:pPr>
        <w:keepNext/>
        <w:spacing w:before="280" w:after="100"/>
      </w:pPr>
      <w:r>
        <w:rPr>
          <w:rFonts w:ascii="微軟正黑體" w:hAnsi="微軟正黑體"/>
          <w:b/>
          <w:color w:val="2B6CB0"/>
          <w:sz w:val="24"/>
        </w:rPr>
        <w:t>6.6 學習文化重塑：培育成長型思維（Growth Mindset）與學術歸屬感</w:t>
      </w:r>
    </w:p>
    <w:p>
      <w:pPr>
        <w:spacing w:after="100" w:line="300" w:lineRule="auto"/>
      </w:pPr>
      <w:r>
        <w:rPr>
          <w:rFonts w:ascii="微軟正黑體" w:hAnsi="微軟正黑體"/>
          <w:i w:val="0"/>
          <w:color w:val="2D3748"/>
          <w:sz w:val="20"/>
        </w:rPr>
        <w:t>針對『高成就 × 低投入（僅 58.1% 喜歡在校學新事物）』的心智危機，學校將採取三大文化重塑工程：</w:t>
      </w:r>
    </w:p>
    <w:p>
      <w:pPr>
        <w:pStyle w:val="ListBullet"/>
        <w:spacing w:after="50" w:line="288" w:lineRule="auto"/>
      </w:pPr>
      <w:r>
        <w:rPr>
          <w:rFonts w:ascii="微軟正黑體" w:hAnsi="微軟正黑體"/>
          <w:b/>
          <w:color w:val="2D3748"/>
          <w:sz w:val="19"/>
        </w:rPr>
        <w:t>① 重塑試錯文化：</w:t>
      </w:r>
      <w:r>
        <w:rPr>
          <w:rFonts w:ascii="微軟正黑體" w:hAnsi="微軟正黑體"/>
          <w:color w:val="2D3748"/>
          <w:sz w:val="19"/>
        </w:rPr>
        <w:t>課堂大力表彰『富有創見的錯誤（Productive Failure）』。將錯題分析轉化為思維迭代的勳章，建立『失敗博物館』或『錯題反思牆』，讓學生深刻體會『大腦像肌肉一樣，在克服困難中不斷生長』。</w:t>
      </w:r>
    </w:p>
    <w:p>
      <w:pPr>
        <w:pStyle w:val="ListBullet"/>
        <w:spacing w:after="50" w:line="288" w:lineRule="auto"/>
      </w:pPr>
      <w:r>
        <w:rPr>
          <w:rFonts w:ascii="微軟正黑體" w:hAnsi="微軟正黑體"/>
          <w:b/>
          <w:color w:val="2D3748"/>
          <w:sz w:val="19"/>
        </w:rPr>
        <w:t>② 引入情境化真實探究：</w:t>
      </w:r>
      <w:r>
        <w:rPr>
          <w:rFonts w:ascii="微軟正黑體" w:hAnsi="微軟正黑體"/>
          <w:color w:val="2D3748"/>
          <w:sz w:val="19"/>
        </w:rPr>
        <w:t>每學期安排 2 週的『真實問題解難週（Real-world Problem Week）』，打破學科藩籬，讓學生圍繞澳門本地可持續發展、智慧交通、綠色能源等課題進行團隊跨學科調研，體驗所學知識造福社區的深層價值感。</w:t>
      </w:r>
    </w:p>
    <w:p>
      <w:pPr>
        <w:pStyle w:val="ListBullet"/>
        <w:spacing w:after="50" w:line="288" w:lineRule="auto"/>
      </w:pPr>
      <w:r>
        <w:rPr>
          <w:rFonts w:ascii="微軟正黑體" w:hAnsi="微軟正黑體"/>
          <w:b/>
          <w:color w:val="2D3748"/>
          <w:sz w:val="19"/>
        </w:rPr>
        <w:t>③ 強化校園情感與學術歸屬：</w:t>
      </w:r>
      <w:r>
        <w:rPr>
          <w:rFonts w:ascii="微軟正黑體" w:hAnsi="微軟正黑體"/>
          <w:color w:val="2D3748"/>
          <w:sz w:val="19"/>
        </w:rPr>
        <w:t>構建『同儕學術導師制（Peer Tutoring）』與『師生思維午餐會』，增強師生之間的非評量性學術交流，切實提升學生在校園中的心理安全感與學術歸屬感。</w:t>
      </w:r>
    </w:p>
    <w:p>
      <w:pPr>
        <w:keepNext/>
        <w:spacing w:before="360" w:after="160"/>
      </w:pPr>
      <w:r>
        <w:rPr>
          <w:rFonts w:ascii="微軟正黑體" w:hAnsi="微軟正黑體"/>
          <w:b/>
          <w:color w:val="1A365D"/>
          <w:sz w:val="28"/>
        </w:rPr>
        <w:t>第七章：推進時間表與工作路徑圖（2026–2028）</w:t>
      </w:r>
    </w:p>
    <w:p>
      <w:pPr>
        <w:spacing w:after="100" w:line="300" w:lineRule="auto"/>
      </w:pPr>
      <w:r>
        <w:rPr>
          <w:rFonts w:ascii="微軟正黑體" w:hAnsi="微軟正黑體"/>
          <w:i w:val="0"/>
          <w:color w:val="2D3748"/>
          <w:sz w:val="20"/>
        </w:rPr>
        <w:t>本項課程與評量深層改革是一項系統性工程，規劃自 2026 年秋季啟動，分四個階段歷時兩年半全面落實：</w:t>
      </w:r>
    </w:p>
    <w:tbl>
      <w:tblPr>
        <w:tblW w:type="auto" w:w="0"/>
        <w:jc w:val="center"/>
        <w:tblLayout w:type="fixed"/>
        <w:tblLook w:firstColumn="1" w:firstRow="1" w:lastColumn="0" w:lastRow="0" w:noHBand="0" w:noVBand="1" w:val="04A0"/>
        <w:tblBorders>
          <w:top w:val="single" w:sz="6" w:space="0" w:color="CBD5E0"/>
          <w:left w:val="none"/>
          <w:bottom w:val="single" w:sz="12" w:space="0" w:color="1A365D"/>
          <w:right w:val="none"/>
          <w:insideH w:val="single" w:sz="4" w:space="0" w:color="CBD5E0"/>
          <w:insideV w:val="none"/>
        </w:tblBorders>
      </w:tblPr>
      <w:tblGrid>
        <w:gridCol w:w="2340"/>
        <w:gridCol w:w="2340"/>
        <w:gridCol w:w="2340"/>
        <w:gridCol w:w="2340"/>
      </w:tblGrid>
      <w:tr>
        <w:trPr>
          <w:tblHeader/>
          <w:cantSplit/>
        </w:trPr>
        <w:tc>
          <w:tcPr>
            <w:tcW w:type="dxa" w:w="1728"/>
            <w:shd w:fill="1A365D"/>
            <w:tcMar>
              <w:top w:w="120" w:type="dxa"/>
              <w:left w:w="120" w:type="dxa"/>
              <w:bottom w:w="120" w:type="dxa"/>
              <w:right w:w="120" w:type="dxa"/>
            </w:tcMar>
          </w:tcPr>
          <w:p>
            <w:pPr>
              <w:spacing w:before="0" w:after="0"/>
              <w:jc w:val="center"/>
            </w:pPr>
            <w:r>
              <w:rPr>
                <w:rFonts w:ascii="微軟正黑體" w:hAnsi="微軟正黑體"/>
                <w:b/>
                <w:color w:val="FFFFFF"/>
                <w:sz w:val="18"/>
              </w:rPr>
              <w:t>推進階段</w:t>
            </w:r>
          </w:p>
        </w:tc>
        <w:tc>
          <w:tcPr>
            <w:tcW w:type="dxa" w:w="1728"/>
            <w:shd w:fill="1A365D"/>
            <w:tcMar>
              <w:top w:w="120" w:type="dxa"/>
              <w:left w:w="120" w:type="dxa"/>
              <w:bottom w:w="120" w:type="dxa"/>
              <w:right w:w="120" w:type="dxa"/>
            </w:tcMar>
          </w:tcPr>
          <w:p>
            <w:pPr>
              <w:spacing w:before="0" w:after="0"/>
              <w:jc w:val="center"/>
            </w:pPr>
            <w:r>
              <w:rPr>
                <w:rFonts w:ascii="微軟正黑體" w:hAnsi="微軟正黑體"/>
                <w:b/>
                <w:color w:val="FFFFFF"/>
                <w:sz w:val="18"/>
              </w:rPr>
              <w:t>時間區間</w:t>
            </w:r>
          </w:p>
        </w:tc>
        <w:tc>
          <w:tcPr>
            <w:tcW w:type="dxa" w:w="3312"/>
            <w:shd w:fill="1A365D"/>
            <w:tcMar>
              <w:top w:w="120" w:type="dxa"/>
              <w:left w:w="120" w:type="dxa"/>
              <w:bottom w:w="120" w:type="dxa"/>
              <w:right w:w="120" w:type="dxa"/>
            </w:tcMar>
          </w:tcPr>
          <w:p>
            <w:pPr>
              <w:spacing w:before="0" w:after="0"/>
              <w:jc w:val="center"/>
            </w:pPr>
            <w:r>
              <w:rPr>
                <w:rFonts w:ascii="微軟正黑體" w:hAnsi="微軟正黑體"/>
                <w:b/>
                <w:color w:val="FFFFFF"/>
                <w:sz w:val="18"/>
              </w:rPr>
              <w:t>核心攻堅任務</w:t>
            </w:r>
          </w:p>
        </w:tc>
        <w:tc>
          <w:tcPr>
            <w:tcW w:type="dxa" w:w="2592"/>
            <w:shd w:fill="1A365D"/>
            <w:tcMar>
              <w:top w:w="120" w:type="dxa"/>
              <w:left w:w="120" w:type="dxa"/>
              <w:bottom w:w="120" w:type="dxa"/>
              <w:right w:w="120" w:type="dxa"/>
            </w:tcMar>
          </w:tcPr>
          <w:p>
            <w:pPr>
              <w:spacing w:before="0" w:after="0"/>
              <w:jc w:val="center"/>
            </w:pPr>
            <w:r>
              <w:rPr>
                <w:rFonts w:ascii="微軟正黑體" w:hAnsi="微軟正黑體"/>
                <w:b/>
                <w:color w:val="FFFFFF"/>
                <w:sz w:val="18"/>
              </w:rPr>
              <w:t>關鍵交付產物與檢驗節點</w:t>
            </w:r>
          </w:p>
        </w:tc>
      </w:tr>
      <w:tr>
        <w:trPr>
          <w:cantSplit/>
        </w:trPr>
        <w:tc>
          <w:tcPr>
            <w:tcW w:type="dxa" w:w="1728"/>
            <w:shd w:fill="FFFFFF"/>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第一階段：</w:t>
              <w:br/>
              <w:t>診斷與標準建立期</w:t>
            </w:r>
          </w:p>
        </w:tc>
        <w:tc>
          <w:tcPr>
            <w:tcW w:type="dxa" w:w="1728"/>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2026 年 10 月</w:t>
              <w:br/>
              <w:t>至 12 月</w:t>
              <w:br/>
              <w:t>(2026/27 上學期)</w:t>
            </w:r>
          </w:p>
        </w:tc>
        <w:tc>
          <w:tcPr>
            <w:tcW w:type="dxa" w:w="331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成立『校本 PISA 課程智慧專案小組』；完成全校近三年段考與期末考題目的素養審計；發布《校本學科閱讀與情境命題指引》。</w:t>
            </w:r>
          </w:p>
        </w:tc>
        <w:tc>
          <w:tcPr>
            <w:tcW w:type="dxa" w:w="259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① 全校段考試卷審計報告</w:t>
              <w:br/>
              <w:t>② 新版命題雙向細目表</w:t>
              <w:br/>
              <w:t>③ MTSS 後 20% 預警名單</w:t>
            </w:r>
          </w:p>
        </w:tc>
      </w:tr>
      <w:tr>
        <w:trPr>
          <w:cantSplit/>
        </w:trPr>
        <w:tc>
          <w:tcPr>
            <w:tcW w:type="dxa" w:w="1728"/>
            <w:shd w:fill="EDF2F7"/>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第二階段：</w:t>
              <w:br/>
              <w:t>試點推行與實驗期</w:t>
            </w:r>
          </w:p>
        </w:tc>
        <w:tc>
          <w:tcPr>
            <w:tcW w:type="dxa" w:w="1728"/>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2027 年 1 月</w:t>
              <w:br/>
              <w:t>至 6 月</w:t>
              <w:br/>
              <w:t>(2026/27 下學期)</w:t>
            </w:r>
          </w:p>
        </w:tc>
        <w:tc>
          <w:tcPr>
            <w:tcW w:type="dxa" w:w="3312"/>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在小四（P4）與初一（S1）先行試點『學科閱讀銜接單元』；在初二（S2）全面試行 MTSS 二級輔導小組；在全校推行 AI Q-V-R-E-R 作業模式。</w:t>
            </w:r>
          </w:p>
        </w:tc>
        <w:tc>
          <w:tcPr>
            <w:tcW w:type="dxa" w:w="2592"/>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① P4/S1 試點示範教案集</w:t>
              <w:br/>
              <w:t>② AI 批判性作業範例庫</w:t>
              <w:br/>
              <w:t>③ 數位專注 3D 課堂視導記錄</w:t>
            </w:r>
          </w:p>
        </w:tc>
      </w:tr>
      <w:tr>
        <w:trPr>
          <w:cantSplit/>
        </w:trPr>
        <w:tc>
          <w:tcPr>
            <w:tcW w:type="dxa" w:w="1728"/>
            <w:shd w:fill="FFFFFF"/>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第三階段：</w:t>
              <w:br/>
              <w:t>全面貫通與深水期</w:t>
            </w:r>
          </w:p>
        </w:tc>
        <w:tc>
          <w:tcPr>
            <w:tcW w:type="dxa" w:w="1728"/>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2027 年 9 月</w:t>
              <w:br/>
              <w:t>至 2028 年 1 月</w:t>
              <w:br/>
              <w:t>(2027/28 上學期)</w:t>
            </w:r>
          </w:p>
        </w:tc>
        <w:tc>
          <w:tcPr>
            <w:tcW w:type="dxa" w:w="331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正式上線校內『四維分佈教學評量儀表板』；完成 P1–S6 數學與理科縱向螺旋課程大綱修訂；舉辦首屆『校本真實情境解難展示週』。</w:t>
            </w:r>
          </w:p>
        </w:tc>
        <w:tc>
          <w:tcPr>
            <w:tcW w:type="dxa" w:w="2592"/>
            <w:shd w:fill="FFFFFF"/>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① P1–S6 縱向課程地圖手冊</w:t>
              <w:br/>
              <w:t>② 新型評量看板全面投產</w:t>
              <w:br/>
              <w:t>③ 學生學習樂趣問卷後測</w:t>
            </w:r>
          </w:p>
        </w:tc>
      </w:tr>
      <w:tr>
        <w:trPr>
          <w:cantSplit/>
        </w:trPr>
        <w:tc>
          <w:tcPr>
            <w:tcW w:type="dxa" w:w="1728"/>
            <w:shd w:fill="EDF2F7"/>
            <w:tcMar>
              <w:top w:w="90" w:type="dxa"/>
              <w:left w:w="100" w:type="dxa"/>
              <w:bottom w:w="90" w:type="dxa"/>
              <w:right w:w="100" w:type="dxa"/>
            </w:tcMar>
            <w:vAlign w:val="center"/>
          </w:tcPr>
          <w:p>
            <w:pPr>
              <w:spacing w:before="0" w:after="0" w:line="276" w:lineRule="auto"/>
              <w:jc w:val="left"/>
            </w:pPr>
            <w:r>
              <w:rPr>
                <w:rFonts w:ascii="微軟正黑體" w:hAnsi="微軟正黑體"/>
                <w:color w:val="2D3748"/>
                <w:sz w:val="17"/>
              </w:rPr>
              <w:t>第四階段：</w:t>
              <w:br/>
              <w:t>成效複盤與固化期</w:t>
            </w:r>
          </w:p>
        </w:tc>
        <w:tc>
          <w:tcPr>
            <w:tcW w:type="dxa" w:w="1728"/>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2028 年 2 月</w:t>
              <w:br/>
              <w:t>至 7 月</w:t>
              <w:br/>
              <w:t>(2027/28 下學期)</w:t>
            </w:r>
          </w:p>
        </w:tc>
        <w:tc>
          <w:tcPr>
            <w:tcW w:type="dxa" w:w="3312"/>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進行全校第一輪素養改革增值評估；檢驗 P10/P90 離散度與低成就比例改善成效；提煉校本成功案例，形成長效教學管理機制。</w:t>
            </w:r>
          </w:p>
        </w:tc>
        <w:tc>
          <w:tcPr>
            <w:tcW w:type="dxa" w:w="2592"/>
            <w:shd w:fill="EDF2F7"/>
            <w:tcMar>
              <w:top w:w="90" w:type="dxa"/>
              <w:left w:w="100" w:type="dxa"/>
              <w:bottom w:w="90" w:type="dxa"/>
              <w:right w:w="100" w:type="dxa"/>
            </w:tcMar>
            <w:vAlign w:val="center"/>
          </w:tcPr>
          <w:p>
            <w:pPr>
              <w:spacing w:before="0" w:after="0" w:line="276" w:lineRule="auto"/>
              <w:jc w:val="center"/>
            </w:pPr>
            <w:r>
              <w:rPr>
                <w:rFonts w:ascii="微軟正黑體" w:hAnsi="微軟正黑體"/>
                <w:color w:val="2D3748"/>
                <w:sz w:val="17"/>
              </w:rPr>
              <w:t>① 課程改革兩年成效評估報告</w:t>
              <w:br/>
              <w:t>② P10 提升與及格率達標驗收</w:t>
              <w:br/>
              <w:t>③ 優秀教學法校本論文集</w:t>
            </w:r>
          </w:p>
        </w:tc>
      </w:tr>
    </w:tbl>
    <w:p>
      <w:pPr>
        <w:spacing w:before="0" w:after="120"/>
      </w:pPr>
    </w:p>
    <w:p>
      <w:pPr>
        <w:keepNext/>
        <w:spacing w:before="360" w:after="160"/>
      </w:pPr>
      <w:r>
        <w:rPr>
          <w:rFonts w:ascii="微軟正黑體" w:hAnsi="微軟正黑體"/>
          <w:b/>
          <w:color w:val="1A365D"/>
          <w:sz w:val="28"/>
        </w:rPr>
        <w:t>第八章：參考文獻、權威數據庫入口與技術術語表</w:t>
      </w:r>
    </w:p>
    <w:p>
      <w:pPr>
        <w:keepNext/>
        <w:spacing w:before="280" w:after="100"/>
      </w:pPr>
      <w:r>
        <w:rPr>
          <w:rFonts w:ascii="微軟正黑體" w:hAnsi="微軟正黑體"/>
          <w:b/>
          <w:color w:val="2B6CB0"/>
          <w:sz w:val="24"/>
        </w:rPr>
        <w:t>8.1 官方權威數據庫與文獻入口</w:t>
      </w:r>
    </w:p>
    <w:p>
      <w:pPr>
        <w:pStyle w:val="ListBullet"/>
        <w:spacing w:after="50" w:line="288" w:lineRule="auto"/>
      </w:pPr>
      <w:r>
        <w:rPr>
          <w:rFonts w:ascii="微軟正黑體" w:hAnsi="微軟正黑體"/>
          <w:b/>
          <w:color w:val="2D3748"/>
          <w:sz w:val="19"/>
        </w:rPr>
        <w:t xml:space="preserve">[1] OECD Country Note: </w:t>
      </w:r>
      <w:r>
        <w:rPr>
          <w:rFonts w:ascii="微軟正黑體" w:hAnsi="微軟正黑體"/>
          <w:color w:val="2D3748"/>
          <w:sz w:val="19"/>
        </w:rPr>
        <w:t>OECD (2026). PISA 2025 Results: Learning in the Digital World &amp; Country Notes - Macao (China). OECD Publishing, Paris. https://www.oecd.org/en/publications/pisa-2025-results-volume-i-country-notes_2d4ff9ea-en/macau-china_9815d707-en.html</w:t>
      </w:r>
    </w:p>
    <w:p>
      <w:pPr>
        <w:pStyle w:val="ListBullet"/>
        <w:spacing w:after="50" w:line="288" w:lineRule="auto"/>
      </w:pPr>
      <w:r>
        <w:rPr>
          <w:rFonts w:ascii="微軟正黑體" w:hAnsi="微軟正黑體"/>
          <w:b/>
          <w:color w:val="2D3748"/>
          <w:sz w:val="19"/>
        </w:rPr>
        <w:t xml:space="preserve">[2] OECD Education GPS: </w:t>
      </w:r>
      <w:r>
        <w:rPr>
          <w:rFonts w:ascii="微軟正黑體" w:hAnsi="微軟正黑體"/>
          <w:color w:val="2D3748"/>
          <w:sz w:val="19"/>
        </w:rPr>
        <w:t>OECD Education GPS (2026). Student Performance, Equity, AI &amp; Learning Environment: Macao. https://gpseducation.oecd.org/CountryProfile?primaryCountry=MAC&amp;topic=PI&amp;treshold=5</w:t>
      </w:r>
    </w:p>
    <w:p>
      <w:pPr>
        <w:pStyle w:val="ListBullet"/>
        <w:spacing w:after="50" w:line="288" w:lineRule="auto"/>
      </w:pPr>
      <w:r>
        <w:rPr>
          <w:rFonts w:ascii="微軟正黑體" w:hAnsi="微軟正黑體"/>
          <w:b/>
          <w:color w:val="2D3748"/>
          <w:sz w:val="19"/>
        </w:rPr>
        <w:t xml:space="preserve">[3] OECD PISA Database: </w:t>
      </w:r>
      <w:r>
        <w:rPr>
          <w:rFonts w:ascii="微軟正黑體" w:hAnsi="微軟正黑體"/>
          <w:color w:val="2D3748"/>
          <w:sz w:val="19"/>
        </w:rPr>
        <w:t>OECD (2026). PISA 2025 Database: Public Use Files (PUFs), Questionnaires &amp; Codebooks. https://www.oecd.org/en/data/datasets/pisa-2025-database.html</w:t>
      </w:r>
    </w:p>
    <w:p>
      <w:pPr>
        <w:pStyle w:val="ListBullet"/>
        <w:spacing w:after="50" w:line="288" w:lineRule="auto"/>
      </w:pPr>
      <w:r>
        <w:rPr>
          <w:rFonts w:ascii="微軟正黑體" w:hAnsi="微軟正黑體"/>
          <w:b/>
          <w:color w:val="2D3748"/>
          <w:sz w:val="19"/>
        </w:rPr>
        <w:t xml:space="preserve">[4] 澳門教青局官方公報: </w:t>
      </w:r>
      <w:r>
        <w:rPr>
          <w:rFonts w:ascii="微軟正黑體" w:hAnsi="微軟正黑體"/>
          <w:color w:val="2D3748"/>
          <w:sz w:val="19"/>
        </w:rPr>
        <w:t>澳門特別行政區政府教育及青年發展局 (2026). 學生能力國際評估計劃（PISA 2025）研究結果新聞發佈會官方公報. https://www.gov.mo/zh-hans/news/934453/</w:t>
      </w:r>
    </w:p>
    <w:p>
      <w:pPr>
        <w:pStyle w:val="ListBullet"/>
        <w:spacing w:after="50" w:line="288" w:lineRule="auto"/>
      </w:pPr>
      <w:r>
        <w:rPr>
          <w:rFonts w:ascii="微軟正黑體" w:hAnsi="微軟正黑體"/>
          <w:b/>
          <w:color w:val="2D3748"/>
          <w:sz w:val="19"/>
        </w:rPr>
        <w:t xml:space="preserve">[5] PISA 2025 測評框架: </w:t>
      </w:r>
      <w:r>
        <w:rPr>
          <w:rFonts w:ascii="微軟正黑體" w:hAnsi="微軟正黑體"/>
          <w:color w:val="2D3748"/>
          <w:sz w:val="19"/>
        </w:rPr>
        <w:t>OECD (2025). PISA 2025 Science &amp; Learning in the Digital World Strategic Frameworks. OECD Education Working Papers.</w:t>
      </w:r>
    </w:p>
    <w:p>
      <w:pPr>
        <w:keepNext/>
        <w:spacing w:before="280" w:after="100"/>
      </w:pPr>
      <w:r>
        <w:rPr>
          <w:rFonts w:ascii="微軟正黑體" w:hAnsi="微軟正黑體"/>
          <w:b/>
          <w:color w:val="2B6CB0"/>
          <w:sz w:val="24"/>
        </w:rPr>
        <w:t>8.2 核心專業術語與計量概念解析</w:t>
      </w:r>
    </w:p>
    <w:p>
      <w:pPr>
        <w:pStyle w:val="ListBullet"/>
        <w:spacing w:after="50" w:line="288" w:lineRule="auto"/>
      </w:pPr>
      <w:r>
        <w:rPr>
          <w:rFonts w:ascii="微軟正黑體" w:hAnsi="微軟正黑體"/>
          <w:b/>
          <w:color w:val="2D3748"/>
          <w:sz w:val="19"/>
        </w:rPr>
        <w:t>● ESCS（經濟、社會與文化地位指數）：</w:t>
      </w:r>
      <w:r>
        <w:rPr>
          <w:rFonts w:ascii="微軟正黑體" w:hAnsi="微軟正黑體"/>
          <w:color w:val="2D3748"/>
          <w:sz w:val="19"/>
        </w:rPr>
        <w:t>由 OECD 根據學生家庭耐用品、父母受教育程度及職業地位合成的標準化連續變量，均值為 0，標準差為 1。用以衡量學生家庭的文化與經濟資本。</w:t>
      </w:r>
    </w:p>
    <w:p>
      <w:pPr>
        <w:pStyle w:val="ListBullet"/>
        <w:spacing w:after="50" w:line="288" w:lineRule="auto"/>
      </w:pPr>
      <w:r>
        <w:rPr>
          <w:rFonts w:ascii="微軟正黑體" w:hAnsi="微軟正黑體"/>
          <w:b/>
          <w:color w:val="2D3748"/>
          <w:sz w:val="19"/>
        </w:rPr>
        <w:t>● 学术韧性学生（Academically Resilient Students）：</w:t>
      </w:r>
      <w:r>
        <w:rPr>
          <w:rFonts w:ascii="微軟正黑體" w:hAnsi="微軟正黑體"/>
          <w:color w:val="2D3748"/>
          <w:sz w:val="19"/>
        </w:rPr>
        <w:t>指處於本經濟體 ESCS 最不利的四分之一（Bottom 25%），但在 PISA 評估中成績達到該經濟體前四分之一（Top 25%）的逆境自強學生。澳門達 19%，顯著優於 OECD 平均。</w:t>
      </w:r>
    </w:p>
    <w:p>
      <w:pPr>
        <w:pStyle w:val="ListBullet"/>
        <w:spacing w:after="50" w:line="288" w:lineRule="auto"/>
      </w:pPr>
      <w:r>
        <w:rPr>
          <w:rFonts w:ascii="微軟正黑體" w:hAnsi="微軟正黑體"/>
          <w:b/>
          <w:color w:val="2D3748"/>
          <w:sz w:val="19"/>
        </w:rPr>
        <w:t>● 合理值（Plausible Values, PVs）：</w:t>
      </w:r>
      <w:r>
        <w:rPr>
          <w:rFonts w:ascii="微軟正黑體" w:hAnsi="微軟正黑體"/>
          <w:color w:val="2D3748"/>
          <w:sz w:val="19"/>
        </w:rPr>
        <w:t>PISA 不採用單一確定測驗分數，而是透過項目反應理論（IRT）與背景變量潛在回歸，為每位學生推導出的一組可能能力值（通常為 10 個）。嚴禁直接取均值跑簡單迴歸，需使用多重插補合併法估算。</w:t>
      </w:r>
    </w:p>
    <w:p>
      <w:pPr>
        <w:pStyle w:val="ListBullet"/>
        <w:spacing w:after="50" w:line="288" w:lineRule="auto"/>
      </w:pPr>
      <w:r>
        <w:rPr>
          <w:rFonts w:ascii="微軟正黑體" w:hAnsi="微軟正黑體"/>
          <w:b/>
          <w:color w:val="2D3748"/>
          <w:sz w:val="19"/>
        </w:rPr>
        <w:t>● MTSS 多層級支援系統：</w:t>
      </w:r>
      <w:r>
        <w:rPr>
          <w:rFonts w:ascii="微軟正黑體" w:hAnsi="微軟正黑體"/>
          <w:color w:val="2D3748"/>
          <w:sz w:val="19"/>
        </w:rPr>
        <w:t>多層級支援架構（Multi-Tiered System of Supports），結合循證教學（Tier 1）、小組精準靶向干預（Tier 2）與個別化深層介入（Tier 3），實現全體學生的差異化成功。</w:t>
      </w:r>
    </w:p>
    <w:p>
      <w:pPr>
        <w:pStyle w:val="ListBullet"/>
        <w:spacing w:after="50" w:line="288" w:lineRule="auto"/>
      </w:pPr>
      <w:r>
        <w:rPr>
          <w:rFonts w:ascii="微軟正黑體" w:hAnsi="微軟正黑體"/>
          <w:b/>
          <w:color w:val="2D3748"/>
          <w:sz w:val="19"/>
        </w:rPr>
        <w:t>● 學科素養閱讀（Disciplinary Literacy）：</w:t>
      </w:r>
      <w:r>
        <w:rPr>
          <w:rFonts w:ascii="微軟正黑體" w:hAnsi="微軟正黑體"/>
          <w:color w:val="2D3748"/>
          <w:sz w:val="19"/>
        </w:rPr>
        <w:t>非一般基礎語文閱讀，而是指在特定學科（如數學、物理、化學）內部，解碼特定符號、圖表、論證架構及專業語言的高階認知理解能力。</w:t>
      </w:r>
    </w:p>
    <w:p>
      <w:pPr>
        <w:spacing w:before="320" w:after="0"/>
        <w:jc w:val="right"/>
      </w:pPr>
      <w:r>
        <w:rPr>
          <w:rFonts w:ascii="微軟正黑體" w:hAnsi="微軟正黑體"/>
          <w:b/>
          <w:color w:val="718096"/>
          <w:sz w:val="19"/>
        </w:rPr>
        <w:t>報告起草：學校課程發展處 課程發展助理主任</w:t>
        <w:br/>
        <w:t>審閱核定：學校教務委員會 · 課程發展專案小組</w:t>
        <w:br/>
        <w:t>2026 年 9 月 11 日</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微軟正黑體" w:hAnsi="微軟正黑體"/>
        <w:color w:val="A0AEC0"/>
        <w:sz w:val="16"/>
      </w:rPr>
      <w:t>機密文件 · 僅供校長室、教務委員會與各學科組內部研討使用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軟正黑體" w:hAnsi="微軟正黑體"/>
        <w:color w:val="A0AEC0"/>
        <w:sz w:val="17"/>
      </w:rPr>
      <w:t>校本課程發展專題分析報告 | PISA 2025 澳門數據與校本課程改革啟示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軟正黑體" w:hAnsi="微軟正黑體"/>
      <w:color w:val="2D3748"/>
      <w:sz w:val="20"/>
      <w:rFonts w:ascii="Calibri" w:hAnsi="Calibri" w:eastAsia="微軟正黑體" w:cs="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