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/>
          <w:i w:val="0"/>
          <w:color w:val="000000"/>
          <w:sz w:val="48"/>
        </w:rPr>
        <w:t>PISA 2025 澳門表現與校本課程改革分析報告</w:t>
      </w:r>
    </w:p>
    <w:p>
      <w:pPr>
        <w:widowControl/>
        <w:spacing w:line="324" w:lineRule="auto" w:after="4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課程發展助理主任決策稿</w:t>
      </w:r>
    </w:p>
    <w:p>
      <w:pPr>
        <w:widowControl/>
        <w:spacing w:line="324" w:lineRule="auto" w:after="3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資料截點 2026 年 9 月 11 日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本報告回答一個管理問題：澳門在高成就和高公平的基礎上，仍有哪些學習品質風險值得學校優先處理。本報告的結論是，校本改革不宜以繼續提高平均分為唯一目標，而應同時守住低成就學生底線、提高高階推理上限、修復跨學科閱讀與自主學習，並把 AI 使用納入可觀察和可評核的思考流程。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PISA 是外部標竿，不是本校診斷結果。以下建議必須再以本校 P1 至 S6 課程、試卷、學生作品、分群表現與持份者調查驗證，才可形成最終校本政策。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管理層摘要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面向</w:t>
            </w:r>
          </w:p>
        </w:tc>
        <w:tc>
          <w:tcPr>
            <w:tcW w:type="dxa" w:w="3816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澳門證據</w:t>
            </w:r>
          </w:p>
        </w:tc>
        <w:tc>
          <w:tcPr>
            <w:tcW w:type="dxa" w:w="4608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校本決策含義</w:t>
            </w:r>
          </w:p>
        </w:tc>
      </w:tr>
      <w:tr>
        <w:tc>
          <w:tcPr>
            <w:tcW w:type="dxa" w:w="151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成就</w:t>
            </w:r>
          </w:p>
        </w:tc>
        <w:tc>
          <w:tcPr>
            <w:tcW w:type="dxa" w:w="381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數學 549  科學 541  閱讀 501  運算解難 572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維持數理與運算優勢  不以平均分掩蓋分佈</w:t>
            </w:r>
          </w:p>
        </w:tc>
      </w:tr>
      <w:tr>
        <w:tc>
          <w:tcPr>
            <w:tcW w:type="dxa" w:w="151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趨勢</w:t>
            </w:r>
          </w:p>
        </w:tc>
        <w:tc>
          <w:tcPr>
            <w:tcW w:type="dxa" w:w="381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2022 至 2025  科學負 2  數學負 3  閱讀負 9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閱讀風險須由全科共同承擔</w:t>
            </w:r>
          </w:p>
        </w:tc>
      </w:tr>
      <w:tr>
        <w:tc>
          <w:tcPr>
            <w:tcW w:type="dxa" w:w="151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公平</w:t>
            </w:r>
          </w:p>
        </w:tc>
        <w:tc>
          <w:tcPr>
            <w:tcW w:type="dxa" w:w="381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科學社經四分位差 45 分  OECD 84 至 85 分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持續補底  同時監測差距是否擴大</w:t>
            </w:r>
          </w:p>
        </w:tc>
      </w:tr>
      <w:tr>
        <w:tc>
          <w:tcPr>
            <w:tcW w:type="dxa" w:w="151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投入</w:t>
            </w:r>
          </w:p>
        </w:tc>
        <w:tc>
          <w:tcPr>
            <w:tcW w:type="dxa" w:w="381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喜歡在校學新事物 58.1%  OECD 68.8%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把自主學習與反思列入課程成果</w:t>
            </w:r>
          </w:p>
        </w:tc>
      </w:tr>
      <w:tr>
        <w:tc>
          <w:tcPr>
            <w:tcW w:type="dxa" w:w="151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AI 與數碼</w:t>
            </w:r>
          </w:p>
        </w:tc>
        <w:tc>
          <w:tcPr>
            <w:tcW w:type="dxa" w:w="381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每週以 AI 助學 67%  科學課受裝置干擾 13%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從工具准入轉向使用品質與課堂管理</w:t>
            </w:r>
          </w:p>
        </w:tc>
      </w:tr>
    </w:tbl>
    <w:p>
      <w:pPr>
        <w:spacing w:after="40"/>
      </w:pP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建議行政會議先批准一個十二個月的課程審計與試點週期，而非立即全面改寫課程。第一階段建立校本基線和能力地圖，第二階段在數學、語文、科學及資訊科技科試行共同任務與共同評分準則，第三階段按證據擴展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一 研究範圍與證據口徑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PISA 2025 以科學為主領域，數學與閱讀為次領域，並首次重點報告在數碼世界中的學習所包含的運算解難。澳門共有 4 953 名學生來自 46 所學校，代表約 5 000 名 15 歲學生，估計覆蓋全澳該年齡人口的 93%。澳門資料符合 PISA 品質標準。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2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報告以 OECD 澳門國別摘要、Education GPS、PISA 2025 第一卷、資料庫與方法文件為主要證據，並以澳門教青局公布及課程政策文件補充本地語境。跨經濟體比較只選新加坡、日本、韓國、香港和中華台北，以便與高表現東亞教育體系對照；排名只作背景，改革判斷以分佈、趨勢、能力與學習環境為主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3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問卷指標反映學生或校長的自陳經驗，可能受文化、題意理解及作答風格影響。成績差異和問卷關聯亦不能直接推論因果。報告因此把資料分為官方事實、分析判斷和校本建議三個層次。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二 澳門表現與東亞標竿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16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經濟體</w:t>
            </w:r>
          </w:p>
        </w:tc>
        <w:tc>
          <w:tcPr>
            <w:tcW w:type="dxa" w:w="180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科學</w:t>
            </w:r>
          </w:p>
        </w:tc>
        <w:tc>
          <w:tcPr>
            <w:tcW w:type="dxa" w:w="180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數學</w:t>
            </w:r>
          </w:p>
        </w:tc>
        <w:tc>
          <w:tcPr>
            <w:tcW w:type="dxa" w:w="180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閱讀</w:t>
            </w:r>
          </w:p>
        </w:tc>
        <w:tc>
          <w:tcPr>
            <w:tcW w:type="dxa" w:w="2232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運算解難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澳門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541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549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501</w:t>
            </w:r>
          </w:p>
        </w:tc>
        <w:tc>
          <w:tcPr>
            <w:tcW w:type="dxa" w:w="223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572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新加坡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560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563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535</w:t>
            </w:r>
          </w:p>
        </w:tc>
        <w:tc>
          <w:tcPr>
            <w:tcW w:type="dxa" w:w="223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563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日本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538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525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503</w:t>
            </w:r>
          </w:p>
        </w:tc>
        <w:tc>
          <w:tcPr>
            <w:tcW w:type="dxa" w:w="223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557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韓國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526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522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501</w:t>
            </w:r>
          </w:p>
        </w:tc>
        <w:tc>
          <w:tcPr>
            <w:tcW w:type="dxa" w:w="223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538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香港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496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522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480</w:t>
            </w:r>
          </w:p>
        </w:tc>
        <w:tc>
          <w:tcPr>
            <w:tcW w:type="dxa" w:w="223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545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中華台北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540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546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508</w:t>
            </w:r>
          </w:p>
        </w:tc>
        <w:tc>
          <w:tcPr>
            <w:tcW w:type="dxa" w:w="223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551</w:t>
            </w:r>
          </w:p>
        </w:tc>
      </w:tr>
      <w:tr>
        <w:tc>
          <w:tcPr>
            <w:tcW w:type="dxa" w:w="216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OECD 平均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482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463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461</w:t>
            </w:r>
          </w:p>
        </w:tc>
        <w:tc>
          <w:tcPr>
            <w:tcW w:type="dxa" w:w="223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500</w:t>
            </w:r>
          </w:p>
        </w:tc>
      </w:tr>
    </w:tbl>
    <w:p>
      <w:pPr>
        <w:spacing w:after="40"/>
      </w:pP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澳門四個領域均高於 OECD 平均，運算解難 572 分為參與經濟體最高。數學與科學接近東亞最高組別，閱讀則與日本、韓國相若，但低於新加坡和中華台北。這個組合顯示澳門並非一般意義上的低效系統；改革的重點是把已有的數理和運算優勢轉化為更穩定的閱讀、論證和自主學習能力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4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跨經濟體表格只比較平均分，不能判斷課程因果。各地人口結構、語言、學制、抽樣與政策環境不同，應把比較結果用作提出問題，而非複製政策。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三 平均分以外的分佈與趨勢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728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1872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低於基準</w:t>
            </w:r>
          </w:p>
        </w:tc>
        <w:tc>
          <w:tcPr>
            <w:tcW w:type="dxa" w:w="1872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高成就</w:t>
            </w:r>
          </w:p>
        </w:tc>
        <w:tc>
          <w:tcPr>
            <w:tcW w:type="dxa" w:w="1944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達到基準</w:t>
            </w:r>
          </w:p>
        </w:tc>
        <w:tc>
          <w:tcPr>
            <w:tcW w:type="dxa" w:w="324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趨勢或差距</w:t>
            </w:r>
          </w:p>
        </w:tc>
      </w:tr>
      <w:tr>
        <w:tc>
          <w:tcPr>
            <w:tcW w:type="dxa" w:w="17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科學</w:t>
            </w:r>
          </w:p>
        </w:tc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7.9%</w:t>
            </w:r>
          </w:p>
        </w:tc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14.5%</w:t>
            </w:r>
          </w:p>
        </w:tc>
        <w:tc>
          <w:tcPr>
            <w:tcW w:type="dxa" w:w="1944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92.1%</w:t>
            </w:r>
          </w:p>
        </w:tc>
        <w:tc>
          <w:tcPr>
            <w:tcW w:type="dxa" w:w="32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P90 與 P10 相差 227 分</w:t>
            </w:r>
          </w:p>
        </w:tc>
      </w:tr>
      <w:tr>
        <w:tc>
          <w:tcPr>
            <w:tcW w:type="dxa" w:w="17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數學</w:t>
            </w:r>
          </w:p>
        </w:tc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9.7%</w:t>
            </w:r>
          </w:p>
        </w:tc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28.8%</w:t>
            </w:r>
          </w:p>
        </w:tc>
        <w:tc>
          <w:tcPr>
            <w:tcW w:type="dxa" w:w="1944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90.3%</w:t>
            </w:r>
          </w:p>
        </w:tc>
        <w:tc>
          <w:tcPr>
            <w:tcW w:type="dxa" w:w="32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2022 至 2025 高低十分位差距擴大</w:t>
            </w:r>
          </w:p>
        </w:tc>
      </w:tr>
      <w:tr>
        <w:tc>
          <w:tcPr>
            <w:tcW w:type="dxa" w:w="17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閱讀</w:t>
            </w:r>
          </w:p>
        </w:tc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15.3%</w:t>
            </w:r>
          </w:p>
        </w:tc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7.0%</w:t>
            </w:r>
          </w:p>
        </w:tc>
        <w:tc>
          <w:tcPr>
            <w:tcW w:type="dxa" w:w="1944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84.7%</w:t>
            </w:r>
          </w:p>
        </w:tc>
        <w:tc>
          <w:tcPr>
            <w:tcW w:type="dxa" w:w="32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2025 比 2022 低 9 分</w:t>
            </w:r>
          </w:p>
        </w:tc>
      </w:tr>
      <w:tr>
        <w:tc>
          <w:tcPr>
            <w:tcW w:type="dxa" w:w="17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運算解難</w:t>
            </w:r>
          </w:p>
        </w:tc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基準採 Level 3</w:t>
            </w:r>
          </w:p>
        </w:tc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53.7%</w:t>
            </w:r>
          </w:p>
        </w:tc>
        <w:tc>
          <w:tcPr>
            <w:tcW w:type="dxa" w:w="1944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另需核對 Level 3 以上比例</w:t>
            </w:r>
          </w:p>
        </w:tc>
        <w:tc>
          <w:tcPr>
            <w:tcW w:type="dxa" w:w="32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澳門平均分居首</w:t>
            </w:r>
          </w:p>
        </w:tc>
      </w:tr>
    </w:tbl>
    <w:p>
      <w:pPr>
        <w:spacing w:after="40"/>
      </w:pP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澳門科學低成就比例低且 P90 與 P10 差距小於 OECD 平均，但這不等於差距風險已消失。2015 至 2025 年，科學成績的社經差距擴大；2022 至 2025 年，數學最高和最低十分位差距亦擴大。校內儀表板如只報班平均和級平均，會錯過這類變化。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5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校本評核建議至少同時報告平均數、中位數、低成就比例、高成就比例、P10、P90、P90 減 P10、分題型正確率及性別和支援需要群體差異。若校內測驗每年難度不同，趨勢只可描述為校內結果變化，不能直接換算成 PISA 分數。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四 閱讀下降是跨學科課程問題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澳門閱讀由 2022 至 2025 下降 9 分。PISA 2025 中，15.3% 學生低於閱讀 Level 2，比例仍低於 OECD 平均，但高於澳門數學和科學的低成就比例。閱讀 Level 5 或以上僅 7%，遠低於數學高成就比例 28.8%。這顯示澳門的優勢並非在所有高階素養上同樣強。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6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數學和科學課程而言，閱讀素養包括辨認題幹中的條件和無關資料、連結文字與圖表、解釋模型假設、區分證據與主張、評估答案是否合理，以及用完整語句交代推理。這些能力應在各科教學和評核中直接教授，不應只交由語文科處理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7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建議每一學段建立共同的學科閱讀任務。P1 至 P3 側重讀懂短情境、圖像和表格；P4 至 P6 加入多步驟條件、資料選擇和簡短解釋；S1 至 S3 加入跨表徵、模型假設和證據判斷；S4 至 S6 加入不確定性、來源可信度和反駁。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五 高公平基礎下的差距預警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澳門優勢與弱勢四分位學生的科學差距為 45 分，約為 OECD 平均 84 至 85 分的一半。社經背景解釋澳門科學成績變異約 3.7% 至 4%，OECD 約 11.6% 至 12%；19% 弱勢學生仍進入本地科學最高四分位，屬學術韌性學生。這些指標支持澳門是一個高表現和高公平的教育體系。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8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風險在於方向而非當下水平。2015 至 2025 年澳門科學社經差距擴大，原因是優勢學生進步較多。學校的核心 KPI 因而應同時回答兩件事：高成就學生是否獲得足夠挑戰，以及需要支援的學生是否同步進步。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校內建議採多層級支援模式。全體學生接受高品質核心教學；未達關鍵能力者接受短週期小組支援；持續未達者接受更密集和個別化介入。每次介入均以具體能力和作品證據追蹤，避免只按總分或班別貼標籤。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六 高成就與學習投入指標分化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951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指標</w:t>
            </w:r>
          </w:p>
        </w:tc>
        <w:tc>
          <w:tcPr>
            <w:tcW w:type="dxa" w:w="144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澳門</w:t>
            </w:r>
          </w:p>
        </w:tc>
        <w:tc>
          <w:tcPr>
            <w:tcW w:type="dxa" w:w="144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OECD</w:t>
            </w:r>
          </w:p>
        </w:tc>
        <w:tc>
          <w:tcPr>
            <w:tcW w:type="dxa" w:w="432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判讀</w:t>
            </w:r>
          </w:p>
        </w:tc>
      </w:tr>
      <w:tr>
        <w:tc>
          <w:tcPr>
            <w:tcW w:type="dxa" w:w="2951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喜歡在學校學習新事物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58.1%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68.8%</w:t>
            </w:r>
          </w:p>
        </w:tc>
        <w:tc>
          <w:tcPr>
            <w:tcW w:type="dxa" w:w="432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偏低  應追問課堂任務是否提供選擇和真實問題</w:t>
            </w:r>
          </w:p>
        </w:tc>
      </w:tr>
      <w:tr>
        <w:tc>
          <w:tcPr>
            <w:tcW w:type="dxa" w:w="2951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成長型思維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45%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69%</w:t>
            </w:r>
          </w:p>
        </w:tc>
        <w:tc>
          <w:tcPr>
            <w:tcW w:type="dxa" w:w="432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偏低  回饋需聚焦策略修正而非能力標籤</w:t>
            </w:r>
          </w:p>
        </w:tc>
      </w:tr>
      <w:tr>
        <w:tc>
          <w:tcPr>
            <w:tcW w:type="dxa" w:w="2951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經常規劃學習方法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27%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37%</w:t>
            </w:r>
          </w:p>
        </w:tc>
        <w:tc>
          <w:tcPr>
            <w:tcW w:type="dxa" w:w="432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偏低  需要顯性教授計劃和監控</w:t>
            </w:r>
          </w:p>
        </w:tc>
      </w:tr>
      <w:tr>
        <w:tc>
          <w:tcPr>
            <w:tcW w:type="dxa" w:w="2951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自問以檢查理解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32%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49%</w:t>
            </w:r>
          </w:p>
        </w:tc>
        <w:tc>
          <w:tcPr>
            <w:tcW w:type="dxa" w:w="432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偏低  將自我提問納入課堂常規</w:t>
            </w:r>
          </w:p>
        </w:tc>
      </w:tr>
      <w:tr>
        <w:tc>
          <w:tcPr>
            <w:tcW w:type="dxa" w:w="2951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學校歸屬感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78.1%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76.2%</w:t>
            </w:r>
          </w:p>
        </w:tc>
        <w:tc>
          <w:tcPr>
            <w:tcW w:type="dxa" w:w="432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略高  不宜概括為歸屬感低</w:t>
            </w:r>
          </w:p>
        </w:tc>
      </w:tr>
      <w:tr>
        <w:tc>
          <w:tcPr>
            <w:tcW w:type="dxa" w:w="2951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認為同儕喜歡自己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66.1%</w:t>
            </w:r>
          </w:p>
        </w:tc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83.1%</w:t>
            </w:r>
          </w:p>
        </w:tc>
        <w:tc>
          <w:tcPr>
            <w:tcW w:type="dxa" w:w="432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明顯偏低  需檢查同儕接納與班級關係</w:t>
            </w:r>
          </w:p>
        </w:tc>
      </w:tr>
    </w:tbl>
    <w:p>
      <w:pPr>
        <w:spacing w:after="40"/>
      </w:pP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投入指標呈現分化，而不是單一的低投入結論。學生尋求教師和同學協助的比例高，但計劃、監控與成長型思維較弱；整體歸屬感略高於 OECD，惟同儕接納感較弱。校本調查應把動機、自我調節、同儕關係和教師支援分開測量。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9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改革重點不宜停留在增加活動數量。每個單元應安排一次目標設定、一次策略選擇、一次中途檢查和一次成果反思，讓自主學習成為教學流程而非口號。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七 運算解難優勢的課程轉化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PISA 2025 運算解難評量要求學生使用建模或程式工具，在延伸任務中進行實驗、分析資料、建立和除錯運算作品，並運用回饋調整策略。澳門平均 572 分居首，53.7% 學生達 Level 5 或 6；73.2% 學生的表現高於其科學成績所預期的水平。這說明運算解難包含與一般學科成績相關但不完全相同的能力。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0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學校不應把這項優勢縮減為程式語法熟練。可轉化的共同能力包括問題分解、變項控制、模型建構、迭代測試、除錯、使用回饋和解釋限制。數學、科學、資訊科技和綜合課程應共同訂出學段進程。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1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學段</w:t>
            </w:r>
          </w:p>
        </w:tc>
        <w:tc>
          <w:tcPr>
            <w:tcW w:type="dxa" w:w="4608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能力重點</w:t>
            </w:r>
          </w:p>
        </w:tc>
        <w:tc>
          <w:tcPr>
            <w:tcW w:type="dxa" w:w="3671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可觀察成果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P1 至 P3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依序指令  分類與規律  以具體物件測試步驟</w:t>
            </w:r>
          </w:p>
        </w:tc>
        <w:tc>
          <w:tcPr>
            <w:tcW w:type="dxa" w:w="3671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能說明步驟並修正明顯錯誤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P4 至 P6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分解問題  簡單演算法  表格與圖像模型  反覆測試</w:t>
            </w:r>
          </w:p>
        </w:tc>
        <w:tc>
          <w:tcPr>
            <w:tcW w:type="dxa" w:w="3671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能比較兩種方法並交代選擇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S1 至 S3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變項控制  模擬  資料分析  程式除錯  模型假設</w:t>
            </w:r>
          </w:p>
        </w:tc>
        <w:tc>
          <w:tcPr>
            <w:tcW w:type="dxa" w:w="3671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能以證據修訂模型並指出限制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S4 至 S6</w:t>
            </w:r>
          </w:p>
        </w:tc>
        <w:tc>
          <w:tcPr>
            <w:tcW w:type="dxa" w:w="460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多變項建模  優化  敏感度分析  開放式設計</w:t>
            </w:r>
          </w:p>
        </w:tc>
        <w:tc>
          <w:tcPr>
            <w:tcW w:type="dxa" w:w="3671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能評估方案效能  公平與風險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八 AI 使用與數碼課堂治理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澳門 67% 學生每週至少一次使用 AI 聊天機械人協助學習，高於 OECD 的 46%。常見用途包括初步研究新課題 38%、摘要文本 41% 和撰寫作業初稿 40%。另一方面，74.5% 學生表示曾在課堂學習評估 AI 生成資訊，高於 OECD 的 62.6%。澳門現況因此同時包含高使用和較高評估教育，政策不宜只用禁止或鼓勵二分處理。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2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科學課中只有 13% 學生表示同儕經常因數碼裝置而分心，低於 OECD 的 28%；但在控制學生和學校社經背景後，受干擾學生的科學成績平均低 24 分，OECD 為 11 分。這是關聯而非因果證明，仍足以支持學校追蹤課堂使用情境。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3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建議校本 AI 任務採五步證據流程：先提出問題，再保留 AI 輸出，核對來源和計算，修訂推理，最後反思 AI 在哪一步提供幫助或造成誤導。評分時把問題品質、驗證證據、推理修訂和反思列為獨立指標，避免只評最終答案。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使用層級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典型用途</w:t>
            </w:r>
          </w:p>
        </w:tc>
        <w:tc>
          <w:tcPr>
            <w:tcW w:type="dxa" w:w="360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校本要求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可直接使用</w:t>
            </w:r>
          </w:p>
        </w:tc>
        <w:tc>
          <w:tcPr>
            <w:tcW w:type="dxa" w:w="468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腦力激盪  例題變式  語句潤飾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需註明使用範圍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必須驗證</w:t>
            </w:r>
          </w:p>
        </w:tc>
        <w:tc>
          <w:tcPr>
            <w:tcW w:type="dxa" w:w="468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資料搜尋  摘要  計算  解題建議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列出來源或自行重算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限制使用</w:t>
            </w:r>
          </w:p>
        </w:tc>
        <w:tc>
          <w:tcPr>
            <w:tcW w:type="dxa" w:w="468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基礎能力尚未形成時的整題代答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先完成個人初稿或課堂受控使用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不得接受</w:t>
            </w:r>
          </w:p>
        </w:tc>
        <w:tc>
          <w:tcPr>
            <w:tcW w:type="dxa" w:w="468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冒充原創  編造引文  代替受監考評核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按學術誠信程序處理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九 校本課程審計框架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外部數據只提出假設。學校需要依序檢查課程文件、教材和任務、評核、學生作品及課堂實施。這個順序有助區分課程缺口、實施落差、評核不一致和真實學習困難。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審計層次</w:t>
            </w:r>
          </w:p>
        </w:tc>
        <w:tc>
          <w:tcPr>
            <w:tcW w:type="dxa" w:w="540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核心問題</w:t>
            </w:r>
          </w:p>
        </w:tc>
        <w:tc>
          <w:tcPr>
            <w:tcW w:type="dxa" w:w="288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8"/>
              </w:rPr>
              <w:t>主要證據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課程意圖</w:t>
            </w:r>
          </w:p>
        </w:tc>
        <w:tc>
          <w:tcPr>
            <w:tcW w:type="dxa" w:w="54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P1 至 S6 是否明列閱讀  推理  建模  運算解難  自我調節與 AI 素養</w:t>
            </w:r>
          </w:p>
        </w:tc>
        <w:tc>
          <w:tcPr>
            <w:tcW w:type="dxa" w:w="288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縱向能力地圖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學習機會</w:t>
            </w:r>
          </w:p>
        </w:tc>
        <w:tc>
          <w:tcPr>
            <w:tcW w:type="dxa" w:w="54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教材和課堂每學段是否提供足夠真實情境與開放問題</w:t>
            </w:r>
          </w:p>
        </w:tc>
        <w:tc>
          <w:tcPr>
            <w:tcW w:type="dxa" w:w="288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單元任務清單與課時比例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評核對齊</w:t>
            </w:r>
          </w:p>
        </w:tc>
        <w:tc>
          <w:tcPr>
            <w:tcW w:type="dxa" w:w="54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校內測驗是否只獎勵程序  是否要求解釋  評估和修訂</w:t>
            </w:r>
          </w:p>
        </w:tc>
        <w:tc>
          <w:tcPr>
            <w:tcW w:type="dxa" w:w="288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試卷藍圖與認知層級分析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學生表現</w:t>
            </w:r>
          </w:p>
        </w:tc>
        <w:tc>
          <w:tcPr>
            <w:tcW w:type="dxa" w:w="54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不同分位和群體在哪些能力失分</w:t>
            </w:r>
          </w:p>
        </w:tc>
        <w:tc>
          <w:tcPr>
            <w:tcW w:type="dxa" w:w="288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分題型  分群體  分學段結果</w:t>
            </w:r>
          </w:p>
        </w:tc>
      </w:tr>
      <w:tr>
        <w:tc>
          <w:tcPr>
            <w:tcW w:type="dxa" w:w="187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教學實施</w:t>
            </w:r>
          </w:p>
        </w:tc>
        <w:tc>
          <w:tcPr>
            <w:tcW w:type="dxa" w:w="54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教師是否共同理解評分準則  是否教導策略與反思</w:t>
            </w:r>
          </w:p>
        </w:tc>
        <w:tc>
          <w:tcPr>
            <w:tcW w:type="dxa" w:w="288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8"/>
              </w:rPr>
              <w:t>觀課  共備  學生訪談</w:t>
            </w:r>
          </w:p>
        </w:tc>
      </w:tr>
    </w:tbl>
    <w:p>
      <w:pPr>
        <w:spacing w:after="40"/>
      </w:pP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診斷規則如下。課程未列出能力，屬設計缺口；課程列出但教材和課堂未出現，屬實施落差；教學有處理但考試不要求，屬評核不對齊；教學與評核均有證據而學生仍弱，才是需要深入分析的學習問題。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十 十二個月改革路線圖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44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時段</w:t>
            </w:r>
          </w:p>
        </w:tc>
        <w:tc>
          <w:tcPr>
            <w:tcW w:type="dxa" w:w="180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目標</w:t>
            </w:r>
          </w:p>
        </w:tc>
        <w:tc>
          <w:tcPr>
            <w:tcW w:type="dxa" w:w="3456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主要工作</w:t>
            </w:r>
          </w:p>
        </w:tc>
        <w:tc>
          <w:tcPr>
            <w:tcW w:type="dxa" w:w="2376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交付物</w:t>
            </w:r>
          </w:p>
        </w:tc>
        <w:tc>
          <w:tcPr>
            <w:tcW w:type="dxa" w:w="1728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建議負責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第 1 至 3 月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建立基線與審計</w:t>
            </w:r>
          </w:p>
        </w:tc>
        <w:tc>
          <w:tcPr>
            <w:tcW w:type="dxa" w:w="345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抽樣分析 P1 至 S6 課程  試卷  學生作品  問卷</w:t>
            </w:r>
          </w:p>
        </w:tc>
        <w:tc>
          <w:tcPr>
            <w:tcW w:type="dxa" w:w="237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能力地圖  試卷藍圖  基線儀表板</w:t>
            </w:r>
          </w:p>
        </w:tc>
        <w:tc>
          <w:tcPr>
            <w:tcW w:type="dxa" w:w="17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課程發展處與科組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第 4 至 6 月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共同設計試點</w:t>
            </w:r>
          </w:p>
        </w:tc>
        <w:tc>
          <w:tcPr>
            <w:tcW w:type="dxa" w:w="345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數學  語文  科學  資訊科技共同設計四個跨科任務</w:t>
            </w:r>
          </w:p>
        </w:tc>
        <w:tc>
          <w:tcPr>
            <w:tcW w:type="dxa" w:w="237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任務包  共同評分準則  教師共備記錄</w:t>
            </w:r>
          </w:p>
        </w:tc>
        <w:tc>
          <w:tcPr>
            <w:tcW w:type="dxa" w:w="17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試點年級教師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第 7 至 9 月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實施與短週期檢討</w:t>
            </w:r>
          </w:p>
        </w:tc>
        <w:tc>
          <w:tcPr>
            <w:tcW w:type="dxa" w:w="345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每六至八週檢查學生作品  分位變化與課堂觀察</w:t>
            </w:r>
          </w:p>
        </w:tc>
        <w:tc>
          <w:tcPr>
            <w:tcW w:type="dxa" w:w="237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中期證據報告  任務修訂</w:t>
            </w:r>
          </w:p>
        </w:tc>
        <w:tc>
          <w:tcPr>
            <w:tcW w:type="dxa" w:w="17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科組與學習支援團隊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第 10 至 12 月</w:t>
            </w:r>
          </w:p>
        </w:tc>
        <w:tc>
          <w:tcPr>
            <w:tcW w:type="dxa" w:w="18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評估與擴展決策</w:t>
            </w:r>
          </w:p>
        </w:tc>
        <w:tc>
          <w:tcPr>
            <w:tcW w:type="dxa" w:w="345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比較基線與後測  檢查低成就  高成就及投入指標</w:t>
            </w:r>
          </w:p>
        </w:tc>
        <w:tc>
          <w:tcPr>
            <w:tcW w:type="dxa" w:w="237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擴展  修訂或停止的決策文件</w:t>
            </w:r>
          </w:p>
        </w:tc>
        <w:tc>
          <w:tcPr>
            <w:tcW w:type="dxa" w:w="17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行政會與課程委員會</w:t>
            </w:r>
          </w:p>
        </w:tc>
      </w:tr>
    </w:tbl>
    <w:p>
      <w:pPr>
        <w:spacing w:after="40"/>
      </w:pP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第一年不建議以 PISA 分數作校本成效 KPI。較可行的是追蹤共同任務中的能力表現、分佈差距、學生投入、教師評分一致度和 AI 驗證行為。若一年後證據顯示有效，再將做法納入正式課程與評核政策。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十一 建議校本關鍵績效指標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面向</w:t>
            </w:r>
          </w:p>
        </w:tc>
        <w:tc>
          <w:tcPr>
            <w:tcW w:type="dxa" w:w="360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指標</w:t>
            </w:r>
          </w:p>
        </w:tc>
        <w:tc>
          <w:tcPr>
            <w:tcW w:type="dxa" w:w="2520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方向</w:t>
            </w:r>
          </w:p>
        </w:tc>
        <w:tc>
          <w:tcPr>
            <w:tcW w:type="dxa" w:w="2592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證據來源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底線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關鍵能力未達標比例</w:t>
            </w:r>
          </w:p>
        </w:tc>
        <w:tc>
          <w:tcPr>
            <w:tcW w:type="dxa" w:w="252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每學期下降  但不以降低難度達成</w:t>
            </w:r>
          </w:p>
        </w:tc>
        <w:tc>
          <w:tcPr>
            <w:tcW w:type="dxa" w:w="259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共同任務與校內評核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上限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高階推理與建模達標比例</w:t>
            </w:r>
          </w:p>
        </w:tc>
        <w:tc>
          <w:tcPr>
            <w:tcW w:type="dxa" w:w="252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每學期上升</w:t>
            </w:r>
          </w:p>
        </w:tc>
        <w:tc>
          <w:tcPr>
            <w:tcW w:type="dxa" w:w="259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共同評分準則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差距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P90 減 P10 及重點群體差距</w:t>
            </w:r>
          </w:p>
        </w:tc>
        <w:tc>
          <w:tcPr>
            <w:tcW w:type="dxa" w:w="252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上限提高時差距不惡化</w:t>
            </w:r>
          </w:p>
        </w:tc>
        <w:tc>
          <w:tcPr>
            <w:tcW w:type="dxa" w:w="259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分位與群體分析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閱讀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跨表徵閱讀與證據解釋正確率</w:t>
            </w:r>
          </w:p>
        </w:tc>
        <w:tc>
          <w:tcPr>
            <w:tcW w:type="dxa" w:w="252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各學段穩定進步</w:t>
            </w:r>
          </w:p>
        </w:tc>
        <w:tc>
          <w:tcPr>
            <w:tcW w:type="dxa" w:w="259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數學  科學  語文共同任務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投入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目標設定  自我提問  策略修訂比例</w:t>
            </w:r>
          </w:p>
        </w:tc>
        <w:tc>
          <w:tcPr>
            <w:tcW w:type="dxa" w:w="252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課堂作品可見並逐步提高</w:t>
            </w:r>
          </w:p>
        </w:tc>
        <w:tc>
          <w:tcPr>
            <w:tcW w:type="dxa" w:w="259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學習日誌與短問卷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AI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有來源核對或重算的 AI 作業比例</w:t>
            </w:r>
          </w:p>
        </w:tc>
        <w:tc>
          <w:tcPr>
            <w:tcW w:type="dxa" w:w="252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達到校定門檻</w:t>
            </w:r>
          </w:p>
        </w:tc>
        <w:tc>
          <w:tcPr>
            <w:tcW w:type="dxa" w:w="259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AI 使用聲明與作品抽查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課堂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數碼干擾事件與有效使用比例</w:t>
            </w:r>
          </w:p>
        </w:tc>
        <w:tc>
          <w:tcPr>
            <w:tcW w:type="dxa" w:w="2520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干擾下降  有效使用上升</w:t>
            </w:r>
          </w:p>
        </w:tc>
        <w:tc>
          <w:tcPr>
            <w:tcW w:type="dxa" w:w="2592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短觀課與學生回饋</w:t>
            </w:r>
          </w:p>
        </w:tc>
      </w:tr>
      <w:tr>
        <w:tc>
          <w:tcPr>
            <w:tcW w:type="dxa" w:w="144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實施</w:t>
            </w:r>
          </w:p>
        </w:tc>
        <w:tc>
          <w:tcPr>
            <w:tcW w:type="dxa" w:w="360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共同任務覆蓋與教師評分一致度</w:t>
            </w:r>
          </w:p>
        </w:tc>
        <w:tc>
          <w:tcPr>
            <w:tcW w:type="dxa" w:w="2520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達到試點計畫要求</w:t>
            </w:r>
          </w:p>
        </w:tc>
        <w:tc>
          <w:tcPr>
            <w:tcW w:type="dxa" w:w="2592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7"/>
              </w:rPr>
              <w:t>審核與雙評樣本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十二 研究方法與使用限制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PISA 使用複雜抽樣、最終學生權重、重複抽樣權重和合理值。正式估算澳門平均數、群體差距、迴歸或顯著性時，應對每一組合理值分別估算，再合併抽樣與插補不確定性；不可先在學生層面把合理值平均，也不可只以 Excel 篩選 MAC 後計算普通平均和標準誤。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4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OECD 已提供學生、學校、教師、認知題目和問卷作答時間等 Public Use Files，以及 codebook 和計算第一卷變項的程式。PISA 2025 技術報告目前為草稿，最終版預定 2027 年發布；後續微觀分析應記錄下載日期、檔案版本和所用程式。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5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校內資料亦需先做品質檢查，包括測驗難度是否跨年可比、缺失資料、重複記錄、分班選擇、評分者一致度及小樣本波動。若要把校內任務結果與 PISA 量尺連結，必須另行設計等值程序；本報告沒有進行這項換算。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6"/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十三 與澳門課程政策的對接</w:t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澳門基本學力要求同時涵蓋知識、技能、能力、情感、態度和價值觀，並用以指導學校設計和實施課程。這為學校把推理、閱讀、自我調節和 AI 素養納入共同課程成果提供政策基礎。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7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課程框架要求學校在公共要求下優化課程結構並促進全人發展。校本改革宜採增補和對齊方式：先檢查現有課程是否已包含所需能力，再修正教材、課堂和評核，不宜把 PISA 另建成獨立操練科目。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8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教青局對 PISA 2025 的官方解讀強調 STEM、推理和數碼素養，亦指出澳門兼顧高表現與公平。學校可把這些成果視為改革起點，但仍須以本校證據決定優先次序。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19"/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非高等教育中長期規劃 2021 至 2030 提供政策時間框架。建議把本報告的十二個月試點納入學校發展計畫，並以年度課程檢討循環持續更新。</w:t>
      </w:r>
      <w:r>
        <w:rPr>
          <w:rFonts w:ascii="Microsoft JhengHei" w:hAnsi="Microsoft JhengHei" w:eastAsia="Microsoft JhengHei"/>
          <w:b w:val="0"/>
          <w:i w:val="0"/>
          <w:color w:val="222222"/>
          <w:sz w:val="16"/>
        </w:rPr>
        <w:t/>
      </w:r>
      <w:r>
        <w:footnoteReference w:id="20"/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十四 行政會議建議決議</w:t>
      </w:r>
    </w:p>
    <w:p>
      <w:pPr>
        <w:pStyle w:val="ListNumber"/>
        <w:spacing w:line="300" w:lineRule="auto" w:after="80"/>
        <w:ind w:left="403" w:hanging="202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批准以十二個月完成 P1 至 S6 閱讀 推理 建模 運算解難 自我調節與 AI 素養的課程審計和試點。</w:t>
      </w:r>
    </w:p>
    <w:p>
      <w:pPr>
        <w:pStyle w:val="ListNumber"/>
        <w:spacing w:line="300" w:lineRule="auto" w:after="80"/>
        <w:ind w:left="403" w:hanging="202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指定課程發展處統籌數學 語文 科學 資訊科技和學習支援團隊建立共同能力地圖與共同評分準則。</w:t>
      </w:r>
    </w:p>
    <w:p>
      <w:pPr>
        <w:pStyle w:val="ListNumber"/>
        <w:spacing w:line="300" w:lineRule="auto" w:after="80"/>
        <w:ind w:left="403" w:hanging="202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由下一個評核週期起  管理儀表板除平均分外必須呈報低成就 高成就 P10 P90 差距和重點群體結果。</w:t>
      </w:r>
    </w:p>
    <w:p>
      <w:pPr>
        <w:pStyle w:val="ListNumber"/>
        <w:spacing w:line="300" w:lineRule="auto" w:after="80"/>
        <w:ind w:left="403" w:hanging="202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選定兩個年級試行跨學科閱讀和建模任務  另選一個年級試行 AI 五步證據流程。</w:t>
      </w:r>
    </w:p>
    <w:p>
      <w:pPr>
        <w:pStyle w:val="ListNumber"/>
        <w:spacing w:line="300" w:lineRule="auto" w:after="80"/>
        <w:ind w:left="403" w:hanging="202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於第六個月提交中期報告  第十二個月以學生作品 分佈變化 投入指標和實施證據決定是否擴展。</w:t>
      </w:r>
    </w:p>
    <w:p>
      <w:pPr>
        <w:widowControl/>
        <w:spacing w:line="324" w:lineRule="auto" w:after="80"/>
      </w:pPr>
      <w:r>
        <w:rPr>
          <w:rFonts w:ascii="Microsoft JhengHei" w:hAnsi="Microsoft JhengHei" w:eastAsia="Microsoft JhengHei"/>
          <w:b/>
          <w:i w:val="0"/>
          <w:color w:val="222222"/>
          <w:sz w:val="21"/>
        </w:rPr>
        <w:t xml:space="preserve">最終判斷  </w:t>
      </w: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</w:r>
    </w:p>
    <w:p>
      <w:pPr>
        <w:widowControl/>
        <w:spacing w:line="324" w:lineRule="auto" w:after="12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PISA 2025 證明澳門具有強大的數理與運算學習基礎，也同時揭示閱讀、自我調節、同儕接納、家庭支持和數碼使用品質的改進空間。對本校最有價值的回應，是把外部結果轉化為可核實的課程問題，並以學與教證據逐步改革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附錄 A 校本分析四十項核心指標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936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編碼</w:t>
            </w:r>
          </w:p>
        </w:tc>
        <w:tc>
          <w:tcPr>
            <w:tcW w:type="dxa" w:w="1296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維度</w:t>
            </w:r>
          </w:p>
        </w:tc>
        <w:tc>
          <w:tcPr>
            <w:tcW w:type="dxa" w:w="3528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指標</w:t>
            </w:r>
          </w:p>
        </w:tc>
        <w:tc>
          <w:tcPr>
            <w:tcW w:type="dxa" w:w="3528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1368"/>
            <w:tcMar>
              <w:top w:w="120" w:type="dxa"/>
              <w:bottom w:w="120" w:type="dxa"/>
              <w:start w:w="110" w:type="dxa"/>
              <w:end w:w="110" w:type="dxa"/>
            </w:tcMar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頻率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A01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成就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各科平均與中位數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整體水平與偏態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A02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成就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共同任務總體達標率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跨年級比較核心能力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A03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成就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數學推理得分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辨別程序與推理表現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每單元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A04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成就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科學證據解釋得分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檢查證據推論能力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A05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成就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跨學科閱讀得分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追蹤學科閱讀基線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D01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分佈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低於校定基準比例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守住學習底線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D02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分佈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高階能力達標比例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追蹤學習上限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D03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分佈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P10 與 P90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觀察兩端變化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D04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分佈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P90 減 P10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監測差距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D05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分佈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未達標能力重疊率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識別跨科共同困難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C01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能力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情境資訊選取正確率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檢查長題幹處理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每單元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C02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能力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數學建模表現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檢查由情境到模型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C03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能力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結果解釋與合理性評估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檢查模型回扣情境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C04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能力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程式或模型除錯表現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檢查迭代修正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C05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能力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跨表徵轉換表現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連結文字 圖表 符號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每單元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T01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趨勢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同一共同任務年度變化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建立可比較趨勢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每年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T02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趨勢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低成就學生進步率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檢查補底成效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T03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趨勢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高成就學生進步率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檢查拔尖成效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T04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趨勢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關鍵學段銜接落差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定位能力斷層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每年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T05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趨勢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介入後維持率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避免短期效果消退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介入後三月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E01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公平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性別差距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辨識系統性落差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E02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公平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學習支援群體差距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監測合理調適與成效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E03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公平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語言背景差距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檢查題幹與學科語言障礙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E04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公平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資助或社經代理群體差距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檢查資源公平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每年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E05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公平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弱勢高成就比例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識別校內學術韌性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每年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G01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投入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喜歡學習新事物比例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追蹤內在動機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G02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投入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學習目標設定比例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追蹤自我調節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每單元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G03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投入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自我提問與理解檢查比例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追蹤監控策略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每單元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G04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投入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策略修訂證據比例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追蹤反思與適應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每單元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G05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投入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同儕接納與歸屬指標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分開檢查關係與歸屬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I01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AI 數碼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AI 助學使用頻率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掌握使用情境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I02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AI 數碼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AI 使用聲明完整率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建立透明習慣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每次任務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I03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AI 數碼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來源核對或重算比例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追蹤驗證行為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每次任務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I04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AI 數碼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AI 後推理修訂品質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辨別支援與代替思考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每次任務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I05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AI 數碼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課堂數碼干擾比例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優化課堂管理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每月抽樣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S01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生態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教師支援感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檢查學生求助渠道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S02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生態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課堂秩序與可工作比例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監測學習環境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S03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生態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家庭學習對話頻率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掌握家校支持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每學期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S04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生態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共同評分一致度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確保資料可信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FFFFF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每次共同任務</w:t>
            </w:r>
          </w:p>
        </w:tc>
      </w:tr>
      <w:tr>
        <w:tc>
          <w:tcPr>
            <w:tcW w:type="dxa" w:w="93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S05</w:t>
            </w:r>
          </w:p>
        </w:tc>
        <w:tc>
          <w:tcPr>
            <w:tcW w:type="dxa" w:w="1296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生態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課程任務與評核對齊率</w:t>
            </w:r>
          </w:p>
        </w:tc>
        <w:tc>
          <w:tcPr>
            <w:tcW w:type="dxa" w:w="352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檢查實施一致性</w:t>
            </w:r>
          </w:p>
        </w:tc>
        <w:tc>
          <w:tcPr>
            <w:tcW w:type="dxa" w:w="1368"/>
            <w:tcMar>
              <w:top w:w="110" w:type="dxa"/>
              <w:bottom w:w="110" w:type="dxa"/>
              <w:start w:w="120" w:type="dxa"/>
              <w:end w:w="120" w:type="dxa"/>
            </w:tcMar>
            <w:shd w:fill="F4F6F8"/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22222"/>
                <w:sz w:val="16"/>
              </w:rPr>
              <w:t>每年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附錄 B 建議首輪校本資料清單</w:t>
      </w:r>
    </w:p>
    <w:p>
      <w:pPr>
        <w:pStyle w:val="ListBullet"/>
        <w:spacing w:line="300" w:lineRule="auto" w:after="60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P1 至 S6 各年級現行數學 語文 科學 資訊科技課程綱要與教學進度。</w:t>
      </w:r>
    </w:p>
    <w:p>
      <w:pPr>
        <w:pStyle w:val="ListBullet"/>
        <w:spacing w:line="300" w:lineRule="auto" w:after="60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最近兩學年期中 期末和共同測驗試卷  評分準則與題目分析。</w:t>
      </w:r>
    </w:p>
    <w:p>
      <w:pPr>
        <w:pStyle w:val="ListBullet"/>
        <w:spacing w:line="300" w:lineRule="auto" w:after="60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每學段抽樣學生作品  覆蓋低 中 高三個表現層次。</w:t>
      </w:r>
    </w:p>
    <w:p>
      <w:pPr>
        <w:pStyle w:val="ListBullet"/>
        <w:spacing w:line="300" w:lineRule="auto" w:after="60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按性別 支援需要 語言背景和其他合規群體整理的匿名成績。</w:t>
      </w:r>
    </w:p>
    <w:p>
      <w:pPr>
        <w:pStyle w:val="ListBullet"/>
        <w:spacing w:line="300" w:lineRule="auto" w:after="60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教師共備 觀課紀錄 學生焦點訪談與短問卷。</w:t>
      </w:r>
    </w:p>
    <w:p>
      <w:pPr>
        <w:pStyle w:val="ListBullet"/>
        <w:spacing w:line="300" w:lineRule="auto" w:after="60"/>
        <w:ind w:left="360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現行 AI 使用規範 數碼裝置政策 學術誠信程序及家校溝通資料。</w:t>
      </w:r>
    </w:p>
    <w:p>
      <w:pPr>
        <w:pStyle w:val="Heading1"/>
        <w:keepNext/>
        <w:spacing w:before="300" w:after="120"/>
      </w:pPr>
      <w:r>
        <w:rPr>
          <w:rFonts w:ascii="Microsoft JhengHei" w:hAnsi="Microsoft JhengHei" w:eastAsia="Microsoft JhengHei"/>
          <w:b/>
          <w:i w:val="0"/>
          <w:color w:val="000000"/>
          <w:sz w:val="30"/>
        </w:rPr>
        <w:t>資料來源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1. OECD  PISA 2025 Results Volume I Macau China Country Note  2026-09-08  https://www.oecd.org/en/publications/pisa-2025-results-volume-i-country-notes_2d4ff9ea-en/macau-china_9815d707-en.html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2. OECD Education GPS  Macao China Student performance PISA 2025  2026  https://gpseducation.oecd.org/CountryProfile?plotter=h5&amp;primaryCountry=MAC&amp;topic=PI&amp;treshold=10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3. OECD Education GPS  Singapore Japan Korea Hong Kong China and Chinese Taipei Student performance PISA 2025  2026  https://gpseducation.oecd.org/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4. 澳門特別行政區政府 教育及青年發展局  澳門 PISA 2025 運算解難全球居首 卓越表現兼顧公平  2026-09-08  https://www.gov.mo/zh-hant/news/1264691/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5. OECD  Student performance in PISA 2025  2026-09-08  https://www.oecd.org/en/publications/pisa-2025-results-volume-i_73451bc5-en/full-report/student-performance-in-pisa-2025_23e075c2.html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6. OECD  Released items from the PISA 2025 Science and Learning in the Digital World assessments  2026-09-08  https://www.oecd.org/en/publications/pisa-2025-results-volume-i_73451bc5-en/full-report/released-items-from-the-pisa-2025-science-and-learning-in-the-digital-world-ldw-assessments_b90631fa.html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7. OECD  PISA 2022 Mathematics Framework  2023  https://www.oecd.org/en/publications/pisa-2022-assessment-and-analytical-framework_dfe0bf9c-en/full-report/component-3.html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8. OECD  PISA 2025 Science Framework  2023  https://pisa-framework.oecd.org/science-2025/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9. OECD  PISA 2025 Database  2026  https://www.oecd.org/en/data/datasets/pisa-2025-database.html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10. OECD  How to prepare and analyse the PISA database  查閱日期 2026-09-11  https://www.oecd.org/en/about/programmes/pisa/how-to-prepare-and-analyse-the-pisa-database.html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11. OECD  Technical notes on analyses in PISA 2025 Results Volume I  2026  https://www.oecd.org/en/publications/pisa-2025-results-volume-i_73451bc5-en/full-report/technical-notes-on-analyses-in-this-volume_46a7001c.html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12. 澳門教育及青年發展局  本地學制正規教育基本學力要求  更新至 2024  https://www.dsedj.gov.mo/crdc/edu/requirements.html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13. 澳門教育及青年發展局  本地學制正規教育課程框架  更新至 2024  https://portal.dsedj.gov.mo/webdsejspace/site/ddca/index-e.jsp?con=cframework</w:t>
      </w:r>
    </w:p>
    <w:p>
      <w:pPr>
        <w:spacing w:line="276" w:lineRule="auto" w:after="80"/>
        <w:ind w:left="360" w:hanging="360"/>
      </w:pPr>
      <w:r>
        <w:rPr>
          <w:rFonts w:ascii="Microsoft JhengHei" w:hAnsi="Microsoft JhengHei" w:eastAsia="Microsoft JhengHei"/>
          <w:b w:val="0"/>
          <w:i w:val="0"/>
          <w:color w:val="222222"/>
          <w:sz w:val="17"/>
        </w:rPr>
        <w:t>14. 澳門教育及青年發展局  非高等教育中長期規劃 2021 至 2030  2021  https://portal.dsedj.gov.mo/webdsejspace/site/policy/202012/index.jsp?con=plan_doc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r>
        <w:footnoteRef/>
      </w:r>
      <w:r>
        <w:t> OECD, PISA 2025 Results Volume I: Macau (China) Country Note, 8 September 2026, https://www.oecd.org/en/publications/pisa-2025-results-volume-i-country-notes_2d4ff9ea-en/macau-china_9815d707-en.html</w:t>
      </w:r>
    </w:p>
  </w:footnote>
  <w:footnote w:id="2">
    <w:p>
      <w:r>
        <w:footnoteRef/>
      </w:r>
      <w:r>
        <w:t> OECD, PISA 2025 Results Volume I: Macau (China) Country Note, 8 September 2026, same source.</w:t>
      </w:r>
    </w:p>
  </w:footnote>
  <w:footnote w:id="3">
    <w:p>
      <w:r>
        <w:footnoteRef/>
      </w:r>
      <w:r>
        <w:t> OECD Education GPS country profiles for Singapore, Japan, Korea, Hong Kong (China) and Chinese Taipei, accessed 11 September 2026, https://gpseducation.oecd.org/</w:t>
      </w:r>
    </w:p>
  </w:footnote>
  <w:footnote w:id="4">
    <w:p>
      <w:r>
        <w:footnoteRef/>
      </w:r>
      <w:r>
        <w:t> OECD Education GPS, Macao (China): Student performance (PISA 2025), accessed 11 September 2026, https://gpseducation.oecd.org/CountryProfile?plotter=h5&amp;primaryCountry=MAC&amp;topic=PI&amp;treshold=10</w:t>
      </w:r>
    </w:p>
  </w:footnote>
  <w:footnote w:id="5">
    <w:p>
      <w:r>
        <w:footnoteRef/>
      </w:r>
      <w:r>
        <w:t> OECD, Student performance in PISA 2025, 8 September 2026, https://www.oecd.org/en/publications/pisa-2025-results-volume-i_73451bc5-en/full-report/student-performance-in-pisa-2025_23e075c2.html</w:t>
      </w:r>
    </w:p>
  </w:footnote>
  <w:footnote w:id="6">
    <w:p>
      <w:r>
        <w:footnoteRef/>
      </w:r>
      <w:r>
        <w:t> OECD Education GPS, Macao (China): Student performance (PISA 2025), same source.</w:t>
      </w:r>
    </w:p>
  </w:footnote>
  <w:footnote w:id="7">
    <w:p>
      <w:r>
        <w:footnoteRef/>
      </w:r>
      <w:r>
        <w:t> OECD, PISA 2022 Mathematics Framework, https://www.oecd.org/en/publications/pisa-2022-assessment-and-analytical-framework_dfe0bf9c-en/full-report/component-3.html</w:t>
      </w:r>
    </w:p>
  </w:footnote>
  <w:footnote w:id="8">
    <w:p>
      <w:r>
        <w:footnoteRef/>
      </w:r>
      <w:r>
        <w:t> OECD, PISA 2025 Results Volume I: Macau (China) Country Note, same source.</w:t>
      </w:r>
    </w:p>
  </w:footnote>
  <w:footnote w:id="9">
    <w:p>
      <w:r>
        <w:footnoteRef/>
      </w:r>
      <w:r>
        <w:t> OECD, Released items from the PISA 2025 Science and Learning in the Digital World assessments, 8 September 2026, https://www.oecd.org/en/publications/pisa-2025-results-volume-i_73451bc5-en/full-report/released-items-from-the-pisa-2025-science-and-learning-in-the-digital-world-ldw-assessments_b90631fa.html</w:t>
      </w:r>
    </w:p>
  </w:footnote>
  <w:footnote w:id="10">
    <w:p>
      <w:r>
        <w:footnoteRef/>
      </w:r>
      <w:r>
        <w:t> OECD, Student performance in PISA 2025, same source.</w:t>
      </w:r>
    </w:p>
  </w:footnote>
  <w:footnote w:id="11">
    <w:p>
      <w:r>
        <w:footnoteRef/>
      </w:r>
      <w:r>
        <w:t> OECD, Released items from the PISA 2025 Science and Learning in the Digital World assessments, same source.</w:t>
      </w:r>
    </w:p>
  </w:footnote>
  <w:footnote w:id="12">
    <w:p>
      <w:r>
        <w:footnoteRef/>
      </w:r>
      <w:r>
        <w:t> OECD Education GPS, Macao (China): Student performance (PISA 2025), same source.</w:t>
      </w:r>
    </w:p>
  </w:footnote>
  <w:footnote w:id="13">
    <w:p>
      <w:r>
        <w:footnoteRef/>
      </w:r>
      <w:r>
        <w:t> OECD, PISA 2022 Mathematics Framework, same source.</w:t>
      </w:r>
    </w:p>
  </w:footnote>
  <w:footnote w:id="14">
    <w:p>
      <w:r>
        <w:footnoteRef/>
      </w:r>
      <w:r>
        <w:t> OECD, How to prepare and analyse the PISA database, accessed 11 September 2026, https://www.oecd.org/en/about/programmes/pisa/how-to-prepare-and-analyse-the-pisa-database.html</w:t>
      </w:r>
    </w:p>
  </w:footnote>
  <w:footnote w:id="15">
    <w:p>
      <w:r>
        <w:footnoteRef/>
      </w:r>
      <w:r>
        <w:t> OECD, PISA 2025 Database, accessed 11 September 2026, https://www.oecd.org/en/data/datasets/pisa-2025-database.html</w:t>
      </w:r>
    </w:p>
  </w:footnote>
  <w:footnote w:id="16">
    <w:p>
      <w:r>
        <w:footnoteRef/>
      </w:r>
      <w:r>
        <w:t> OECD, Technical notes on analyses in PISA 2025 Results Volume I, 2026, https://www.oecd.org/en/publications/pisa-2025-results-volume-i_73451bc5-en/full-report/technical-notes-on-analyses-in-this-volume_46a7001c.html</w:t>
      </w:r>
    </w:p>
  </w:footnote>
  <w:footnote w:id="17">
    <w:p>
      <w:r>
        <w:footnoteRef/>
      </w:r>
      <w:r>
        <w:t> 澳門教育及青年發展局，《本地學制正規教育基本學力要求》，https://www.dsedj.gov.mo/crdc/edu/requirements.html</w:t>
      </w:r>
    </w:p>
  </w:footnote>
  <w:footnote w:id="18">
    <w:p>
      <w:r>
        <w:footnoteRef/>
      </w:r>
      <w:r>
        <w:t> 澳門教育及青年發展局，《本地學制正規教育課程框架》，https://portal.dsedj.gov.mo/webdsejspace/site/ddca/index-e.jsp?con=cframework</w:t>
      </w:r>
    </w:p>
  </w:footnote>
  <w:footnote w:id="19">
    <w:p>
      <w:r>
        <w:footnoteRef/>
      </w:r>
      <w:r>
        <w:t> 澳門特別行政區政府教育及青年發展局，《澳門 PISA 2025：運算解難全球居首，卓越表現兼顧公平》，2026年9月8日，https://www.gov.mo/zh-hant/news/1264691/</w:t>
      </w:r>
    </w:p>
  </w:footnote>
  <w:footnote w:id="20">
    <w:p>
      <w:r>
        <w:footnoteRef/>
      </w:r>
      <w:r>
        <w:t> 澳門教育及青年發展局，《非高等教育中長期規劃（2021-2030）》，https://portal.dsedj.gov.mo/webdsejspace/site/policy/202012/index.jsp?con=plan_doc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JhengHei" w:hAnsi="Microsoft JhengHei" w:eastAsia="Microsoft Jheng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PISA 2025 澳門表現與校本課程改革分析報告</dc:title>
  <dc:subject>課程發展與校本改革</dc:subject>
  <dc:creator>課程發展處</dc:creator>
  <cp:keywords>PISA 2025 澳門 校本課程 課程改革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