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/>
          <w:b/>
          <w:color w:val="173B57"/>
          <w:sz w:val="44"/>
        </w:rPr>
        <w:t>PISA 2025 澳門數據與校本課程改革分析</w:t>
      </w:r>
    </w:p>
    <w:p>
      <w:pPr>
        <w:spacing w:before="0" w:after="80"/>
      </w:pPr>
      <w:r>
        <w:rPr>
          <w:rFonts w:ascii="Microsoft JhengHei" w:hAnsi="Microsoft JhengHei"/>
          <w:b/>
          <w:color w:val="2C6E91"/>
          <w:sz w:val="34"/>
        </w:rPr>
        <w:t>行政會議匯報演練與高階 Q&amp;A 備詢手冊</w:t>
      </w:r>
    </w:p>
    <w:p>
      <w:pPr>
        <w:spacing w:after="160" w:line="288" w:lineRule="auto"/>
      </w:pPr>
      <w:r>
        <w:rPr>
          <w:b/>
        </w:rPr>
        <w:t>執筆角色：</w:t>
      </w:r>
      <w:r>
        <w:t>課程發展助理主任（Assistant Director of Curriculum Development）</w:t>
        <w:br/>
      </w:r>
      <w:r>
        <w:rPr>
          <w:b/>
        </w:rPr>
        <w:t>備詢對象：</w:t>
      </w:r>
      <w:r>
        <w:t>校長室、校監會、教務委員會、學術發展委員會、各學科組長（科主任）</w:t>
        <w:br/>
      </w:r>
      <w:r>
        <w:rPr>
          <w:b/>
        </w:rPr>
        <w:t>文件定位：</w:t>
      </w:r>
      <w:r>
        <w:t>高司決策密件 · 全面拆解 12 道尖銳行政質詢，提供數據防禦邏輯、話術模板與全流程會議演練腳本</w:t>
      </w:r>
    </w:p>
    <w:p>
      <w:pPr>
        <w:keepNext/>
        <w:spacing w:before="360" w:after="120"/>
      </w:pPr>
      <w:r>
        <w:rPr>
          <w:rFonts w:ascii="Microsoft JhengHei" w:hAnsi="Microsoft JhengHei"/>
          <w:b/>
          <w:color w:val="173B57"/>
          <w:sz w:val="28"/>
        </w:rPr>
        <w:t>第一部分：行政會議 5 分鐘高階「電梯簡報」（Elevator Pitch）</w:t>
      </w:r>
    </w:p>
    <w:p>
      <w:pPr>
        <w:spacing w:after="80" w:line="288" w:lineRule="auto"/>
      </w:pPr>
      <w:r>
        <w:rPr>
          <w:rFonts w:ascii="Microsoft JhengHei" w:hAnsi="Microsoft JhengHei"/>
          <w:i w:val="0"/>
          <w:color w:val="222222"/>
          <w:sz w:val="20"/>
        </w:rPr>
        <w:t>本簡報專為行政大會或校長室閉門聽證開場設計。匯報者需在 5 分鐘內迅速穿透表象認知，以無可辯駁的客觀數據建立危機意識與改革共識。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080"/>
            <w:shd w:fill="F7FAFC" w:val="clear"/>
            <w:tcBorders>
              <w:top w:val="none"/>
              <w:left w:val="single" w:sz="28" w:space="0" w:color="173B5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Microsoft JhengHei" w:hAnsi="Microsoft JhengHei"/>
                <w:b/>
                <w:color w:val="173B57"/>
                <w:sz w:val="21"/>
              </w:rPr>
              <w:t>【5 分鐘高階立論演說逐字稿 (Executive Pitch Script)】</w:t>
              <w:br/>
            </w:r>
            <w:r>
              <w:rPr>
                <w:rFonts w:ascii="Microsoft JhengHei" w:hAnsi="Microsoft JhengHei"/>
                <w:color w:val="222222"/>
                <w:sz w:val="19"/>
              </w:rPr>
              <w:t>「校長、各位委員、各位科主任：OECD 剛公布的 PISA 2025 數據中，澳門學生在運算思維斬獲全球第一（572分），數學與科學榮獲全球第三，這份亮眼成績值得全體同工自豪。然而，作為學校課程發展舵手，我們若只看到榮耀，學校將在三年內陷入嚴峻的競爭危機。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數據揭示了三個致命隱患：第一，閱讀素養逆勢下滑 9 分（跌至 501 分），高表現尖子僅 7%，這正在全面侵蝕理科與社會學科的解題上限；第二，亮眼均分掩蓋了校內 P10 與 P90 差距擴大，弱勢邊緣學生面臨掉隊風險；第三，每週 67% 的 AI 普及率背後是嚴重的『認知外包』，科學課數位分心更帶來了高達 -24 分的沉重代價。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本次校本課程改革的底層邏輯不是推翻現有教學，更不是給老師增加負擔，而是『題目改裝而非疊加、精準對齊而非盲目刷題、建立專注防線而非放任科技』。我們已備妥 240 筆跨學科審計表與 90 分鐘實作工作坊。今天，我們懇請校董會與行政會正式拍板通過實施計畫。」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color w:val="173B57"/>
          <w:sz w:val="28"/>
        </w:rPr>
        <w:t>第二部分：6 大維度 × 12 道行政尖銳問題深度 Q&amp;A 攻防矩陣</w:t>
      </w:r>
    </w:p>
    <w:p>
      <w:pPr>
        <w:spacing w:after="80" w:line="288" w:lineRule="auto"/>
      </w:pPr>
      <w:r>
        <w:rPr>
          <w:rFonts w:ascii="Microsoft JhengHei" w:hAnsi="Microsoft JhengHei"/>
          <w:i w:val="0"/>
          <w:color w:val="222222"/>
          <w:sz w:val="20"/>
        </w:rPr>
        <w:t>以下收錄了行政高層、教務委員、學科主任與工會代表最可能拋出的 12 道尖銳問題。每題均提供「提問心理背景」、「數據防禦要點」、「應對逐字稿」及「給科組的實施支架與底線」。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【維度一：立論質疑與改革必要性】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Q1（校長室質詢）：澳門成績名列世界前茅，對外宣傳極佳，教青局與家長均十分滿意。我們為什麼一定要大費周章在校內搞課程改革？會不會自找麻煩、引發基層教師抱怨？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校長室擔憂破壞校內現有穩定局面，對外既然已有亮眼招牌，改革若引發教師抗拒將得不償失。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PISA 2025 閱讀下降 9 分；閱讀尖子（Level 5–6）僅 7.0%，遠落後新加坡（23%）與日本（17%）；數學與科學雖然均分高，但校內後 10% 學生差距持續擴大。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校長顧慮非常中肯。穩定的確是學校發展的基石。但正是在『頂峰時期』，最容易滋生『均分盲區』。如果我們今天不改，兩年後會有兩個直接後果：第一，隨著周邊地區（如新加坡、深圳、香港）全面融入非連續性文本與運算建模，我們學生在大學升學與國際競賽中的高階優勢將迅速被蠶食；第二，閱讀下滑 9 分是全學科學習力滑坡的先行指標，若等聯考及格率下降才來補救，代價是現在的十倍。我們的方案不是『折騰式全面重來』，而是以審計表為靶向的『微創手術』，把老師從低效的重複刷題中解放出來。」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強調改革不增加新課時，每學期各科僅選定 2 個代表性單元進行情境化升級，行政會提供全套教案範例支援。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Q2（語文科主任質詢）：閱讀下滑 9 分，難道是我們中文科和英文科教得不好？如果要補強閱讀，責任全在語文科，為什麼連數學科、科學科都要被拉進來做閱讀審計？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語文科感到被問責、受委屈，其他學科則認為閱讀事不關己，產生學科壁壘與推諉情緒。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PISA 閱讀下滑的核心題型是「非連續性多文本（圖表、說明書、對立社論、政策草案）」。PISA 數學與科學測試中，題目題幹平均超過 250 字，且包含雙坐標圖與表格。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「中文科和英文科同工承擔了繁重的語言基礎教學，成績有目共睹。但 PISA 數據明確告訴我們：現代閱讀早已超越單純的文學欣賞，它叫『學科素養閱讀（Disciplinary Literacy）』。數學題看不懂題意、抓不出約束條件，這是『數學閱讀障礙』；科學實驗看不懂圖表數據與假說矛盾，這是『科學閱讀障礙』。如果把非連續性文本的責任全堆給語文科，語文老師不可能精通熱力學圖表或微積分建模。各學科共同承擔閱讀，不是幫語文科分擔責任，而是幫助數理科學生打破『計算很強卻讀不懂情境題』的致命瓶頸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語文科負責篇章結構與論證邏輯框架，數理科負責圖表抽取與符號轉化，各司其職，審計表已分流設計。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【維度二：教學進度與升學測考衝突】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Q3（教務主任質詢）：每週課時已經排得滿滿當當，各科教師天天喊進度趕不完。你現在要加入 300 字長情境閱讀、建模探究和答辯，哪來的課時？會不會拖垮常規統考的合格率？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教務處對教學進度表和期末統考合格率負有直接考核責任，最排斥任何可能拖慢進度的『花俏項目』。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實證研究表明，學生在傳統機械刷題中的概念留存率不足 20%，且遭遇變式題時錯誤率高達 65%；而經過情境建模訓練的學生，解題遷移效率提升 35% 以上。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「教務主任指出了最核心的現實制約：時間。我們絕不要求教師在既有進度之上『做加法』，我們的核心原則是『改裝而非疊加（Upgrading instead of Adding）』。舉例來說：數學科原本課堂上要做 5 道一元一次不等式的純符號練習，學生做得很枯燥；我們將其中 3 道替換為 1 道『商場階梯停車費建模題』。這 1 道題同時涵蓋了代數運算、函數邊界討論與情境提取，教學耗時相同，但學生的思維深度與記憶留存率提高了一倍。這不是浪費時間，而是在擠掉無效刷題的『水分』，反向提升考試及格率。」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教務處在審批教學進度表時，允許各科以『情境任務包』折抵等量常規課時，統考中設置 15% 的情境對齊題。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Q4（理科教師代表質詢）：升大保送試、全國聯考和校內大考，考的絕大部分還是傳統定理推導與運算。我們在課堂花時間搞長篇閱讀與開放性探究，會不會變成『教的不考、考的沒教』？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一線升學年級教師對升學考題具有路徑依賴，擔心課改影響升學升學率。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近年內地高考、澳門聯考與國際 IB/AP/A-Level 命題趨勢：純符號死記題佔比已降至 30% 以下，基於真實科研情境、跨學科圖表分析與綜合探究題佔比已全面超過 50%。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「各位老師，如果現在的考題還是 10 年前的死記硬背，我絕對贊同大家繼續刷題。但請大家看今年的聯考與高考真題：數學卷出現了『航天軌道數據擬合』，物理卷出現了『新能源電池充放電圖表解讀』。命題方向已經徹底轉向『無情境不成題、無圖表不命題』。如果我們平時只餵學生吃『去情境化的符號膠囊』，學生走進考場看到 400 字的真實情境題就會當場大腦當機。我們今天在課堂上訓練長情境閱讀，正是為了保障學生在未來的升學大考中立於不敗之地。」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各備課組在升學模擬考中，精準錨定高考試卷中的情境題型，將改革成果直接轉化為升學提分點。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【維度三：課堂 3D 專注與科技管制落地】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5（資訊處/總務處質詢）：學校近年斥巨資建設智慧校園、採購電子平板，教育局也大力提倡『科技賦能教學』。你現在提出『實驗台完全無裝置』和『屏幕朝下』，會不會被外界批評為科技倒退？家長會不會質疑學校買了平板卻不用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資訊部門擔心硬體投資效益受到質疑，校方擔心外部輿論指責學校管理保守化、反智化。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PISA 2025 科學課數據：學生在課堂經常受數碼裝置干擾的比例為 13%，數位分心與科學表現的關聯度高達 -24 分（相當於近一整個學年的學習差距！）。全球頂尖私校（如英國伊頓、新加坡萊佛士）均已立法實施課堂設備分級管控。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「這是非常重要的公共關係與教學哲學問題。我們不是『反對科技』，我們是『反對無效干擾與大腦外包』。科技在課堂上的價值，取決於它是『認知增強工具』還是『注意力抽水機』。-24 分的慘痛代價證明，放任學生一整節課開著平板，絕大部分時間都在後台切換多工。我們的『3D 專注規程』是極其科學的：D1 審題構思與實驗操作堅持離線紙筆，保護深度專注；D2 數據分析與視覺化限時 10-15 分鐘受控聯網，發揮科技最大威力；D3 答辯與反思脫離屏幕。向家長和教青局溝通時，這正是我們學校從『盲目崇拜設備』走向『成熟卓越教學法』的標誌。」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資訊處協助在平板端配置課堂管理軟體（MDM），支援教師一鍵鎖屏（Screen Down 指令），硬體保障政策落地。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Q6（班主任與一線教師質詢）：在實際課堂中，只要學生手裡有平板或電腦，偷切視窗、打遊戲或看漫畫防不勝防。教師上課既要講課又要當『網警』抓切屏，身心俱疲。3D 專注會不會淪為一紙空文？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一線教師對於課堂紀律失控有深層無力感，不想承擔無休止的監督與衝突成本。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環境心理學與行為管理研究證明：靠個人意志力對抗演算法誘惑必然失敗；唯有建立『物理隔絕（Physical Boundary）』與『集體儀式感』能降低 90% 的違規率。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「老師們的痛苦完全真實。過去我們把科技管制的責任全部壓在個別教師的眼力上，這是制度設計的失敗。3D 管制的精髓在於『把管理變成物理常態』：第一，實驗室與常規教室前排設置專用平板收納盒或要求『設備翻轉朝下』；第二，全校統一 3D 手勢，口令一出，全員屏幕蓋上，違者即視為違規，不需要老師苦苦盯著屏幕；第三，小組共用一台終端而非一人一台，組內互相監督。當無裝置成為全校統一規範，學生無從辯解，老師才能真正專注於授課本身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各班配置硬體設備收納盒；教務處巡課重點將『屏幕狀態是否與教學環節對齊』納入常規巡查，為教師撐腰。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【維度四：生成式 AI 政策與防認知外包】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Q7（學術委員會質詢）：現在學生回家作業用 ChatGPT 或 DeepSeek 代寫已成風氣，交上來的報告天花亂墜，考試卻一塌糊塗。坊間 AI 檢測軟體誤判率極高，學校到底該全面封殺 AI，還是聽之任之？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學術委員會擔憂學術誠信瓦解，但又苦於缺乏有效的技術檢測手段，處於兩難困境。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OpenAI 與 Stanford 研究證實：文本 AI 檢測工具的準確率不足 60%，對非母語學生誤判率高達 30% 以上；澳門 PISA 數據顯示 67% 學生每週使用 AI，全面封殺只會讓使用轉入地下，加速認知退化。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「封殺既不可能，技術檢測也已宣告破產。我們唯一的出路，是『徹底改變評核規則，讓 AI 全代寫變得毫無價值』。我們構建的『防認知外包四大防線』就是終極解答：第一，初稿必須離線手寫，不給 AI 從零代寫的機會；第二，只要使用了 AI，就必須交出 Q-V-R-E-R 提問日誌與修改前後的對照表（Diff），沒有日誌一律零分；第三，作業成績必須經過課堂 1 分鐘隨機質詢（Cold Call Viva）或代碼審查答辯才能生效。當學生知道『抄來的答案自己說不清楚就會掛科』時，認知外包自然會被遏制。」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校本作業指引明確規定：純 AI 生成且未附核驗日誌者，按未交作業處理；作業成績中『口頭答辯與核驗記錄』佔比不低於 40%。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Q8（科組長集體質詢）：如果每份作業都要看提示詞日誌、對照修改版本，每節課還要搞 1 分鐘口頭答辯，每位老師教 100 多個學生，批改和課堂時間根本承受不了！這不是逼死老師嗎？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科組長最直接的職責是保護本組教師不被繁重的工作量壓垮，對任何增加批改負擔的要求本能反抗。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傳統教學中，教師花費 70% 的時間在批改重複性、機械性的符號計算或謄抄作業，批改反饋到達學生手中時已延遲 3-5 天，實質教學回報率極低。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「請各位科組長放心，如果這項方案會增加老師總工時，我第一個反對。我們的策略是『作業總量減半、質性反饋倍增、實施抽樣審計』。具體三項減負措施：第一，家庭作業減量 30%–40%，廢除重複抄寫與機械刷題；第二，提示詞日誌不需要全篇精批，教師只看『是否附有實體書籍核驗標籤』，5 秒鐘即可完成初篩；第三，課堂口試採用『冷抽查（Cold Call Viva）』模式，每節課隨機抽 3–4 人，抽查具備強大的隨機威懾效應，其他學生不敢怠慢。老師的批改時間不僅不會翻倍，反而能從垃圾作業中解脫出來，專注於真正的思維引導。」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提供標準化《Q-V-R-E-R 快速核查印章》與口試抽查紀錄 App/紙質清單，10 秒內完成一次記錄。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【維度五：教育公平、弱勢保底與學習投入】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Q9（學生輔導處/特教統籌質詢）：PISA 數據顯示社經弱勢與學力落後群體依然客觀存在。300 字長情境文本、多圖表綜合題與開放建模，對後 20% 的學困生（Tier 3）來說簡直是天書。這會不會造成他們直接放棄，導致兩極分化更加嚴重？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輔導處擔心改革加劇校內學力兩極分化，邊緣學生被邊緣化，引發家長投訴與心理健康問題。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PISA 2025 澳門數據：社經背景變異僅能解釋 4% 的學業成績（全球最優之一），說明澳門學校具備強大的底線守護基因；但若缺乏層級支架，弱勢學生在複雜數位任務中失敗率高達 75%。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「這是最具人文關懷的深刻問題。保底是我們學校的立校之本，絕不能以犧牲後進生為代價來搞改革。我們引進的 MTSS（多層級支援系統）專門為此設計了『雙層鷹架（Dual-level Scaffolding）』原則：我們維持『思維的高階性』，但給予『表達的階梯性支援』。針對 Tier 3 學困生，我們不降低問題的本質，而是提供三項支架：第一，視覺化圖示（Graphic Organizers）幫助理順長文本；第二，關鍵詞彙與算理提示卡；第三，CER 句子起點（Sentence Starters，例如『我發現的證據是...因為熱力學定律...所以...』）。我們在小學階段建立保底機制，正是為了防止他們在初中徹底斷崖。」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審計表中明確規定：所有長情境任務必須配備階梯式提示單（Hint Cards），學困生可在請求支援後完成達標級任務。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Q10（德育處/學生事務主任質詢）：PISA 指標顯示澳門學生對學校歸屬感很高（78.1%），但成長思維（45%）與學習新事物的探究意願（58.1%）遠落後 OECD 平均，呈現『高分低投入』的文化死結。一套課程方案真的能改變這種被動學習文化嗎？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學生事務部門認為文化與動機是長期的深層心理機制，懷疑純粹的教學技術改革能否奏效。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自我決定理論（SDT）研究表明：學生的內在動機源於『勝任感（Competence）』、『自主感（Autonomy）』與『關聯感（Relatedness）』。機械重複刷題是摧毀學習興趣的最大元兇；而真實世界情境與同儕答辯能提升 45% 的探究主動性。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學生為什麼喜歡學校卻討厭學習？因為學校有朋友、有溫暖（歸屬感高），但傳統課堂只給他們冷冰冰的符號試卷與排名壓力（自主感與關聯感為零）。當學生在課堂上做的是『商場停車費最優化』、『校園手機管理辯論』、『保溫杯實測對比』，他們是在用知識解決身邊的真實問題。更重要的是，在 Q-V-R-E-R 中，學生不是被動接收知識的容器，而是扮演『AI 的質詢者與糾錯官』，這種角色轉變極大賦予了學生心智的勝任感。改變學習文化，必須先從改變課堂任務的屬性開始。」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在學期末舉辦全校『真實問題探究與建模展評會』，優秀作品公開表彰，重構校園學術榮譽文化。</w:t>
      </w: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【維度六：資源預算、時程路線與換湯不換藥質疑】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Q11（校長室/總務財務處質詢）：推動這套三年改革路線圖（2026–2028），學校需要投入哪些具體資源與預算？我們如何向校董會交代投資回報？三年後的量化驗證 KPI 是什麼？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校長與財務主管必須計算人手、資金成本，並面臨校董會對績效（KPI）的嚴格追責。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本方案設計之初即堅持『輕資產、重機制』原則，不需要採購昂貴的大型軟體平台，主要成本在於校內排課時數調配與教師專業研習。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「這份方案在財務上極其節制與務實。三年總預算主要集中在兩項：第一，校本教師工作坊與外聘專家評閱津貼（每年約 5–8 萬澳門元）；第二，每週為各科組調配 1 節固定的共同備課（Co-planning）課時，這屬於校內課表排課優化，無需增加額外編制。至於回報與檢驗 KPI，我們制定了三項剛性指標：第一，2027 學年結束時，全校 P1–S6 課程審計完成率達 100%，各科情境化命題佔比達 25%；第二，課堂數碼分心率從 13% 壓降至 3% 以下；第三，在 2028 年新一輪常模評測中，本校閱讀平均分預計回升 15 分以上，數學尖子生佔比突破 35%，保底及格率維持在 98% 以上。這是一筆產出極其清晰的教育投資。」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每學年向校董會提交《課程改革 ROI 與數據審計白皮書》，以客觀學生作品為驗證依據。</w:t>
      </w:r>
    </w:p>
    <w:p>
      <w:pPr>
        <w:keepNext/>
        <w:spacing w:before="180" w:after="40"/>
      </w:pPr>
      <w:r>
        <w:rPr>
          <w:rFonts w:ascii="Microsoft JhengHei" w:hAnsi="Microsoft JhengHei"/>
          <w:b/>
          <w:color w:val="222222"/>
          <w:sz w:val="21"/>
        </w:rPr>
        <w:t>Q12（資深教師/基層工會代表質詢）：教育界每隔幾年就換一套時髦名詞，從過去的探究式教學、STEM，到現在的 PISA、CPS、CER、Q-V-R-E-R、MTSS。會不會過兩年換了新領導，又搞另一套？這是不是換湯不換藥的政績工程？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【心理與阻力分析】：</w:t>
      </w:r>
      <w:r>
        <w:rPr>
          <w:rFonts w:ascii="Microsoft JhengHei" w:hAnsi="Microsoft JhengHei"/>
          <w:i w:val="0"/>
          <w:color w:val="222222"/>
          <w:sz w:val="20"/>
        </w:rPr>
        <w:t>資深一線教師見慣了『政策翻烙餅』，產生嚴重的職業倦怠與形式主義防禦心理。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【數據防禦依據】：</w:t>
      </w:r>
      <w:r>
        <w:rPr>
          <w:rFonts w:ascii="Microsoft JhengHei" w:hAnsi="Microsoft JhengHei"/>
          <w:i w:val="0"/>
          <w:color w:val="222222"/>
          <w:sz w:val="20"/>
        </w:rPr>
        <w:t>教育哲學的第一性原理（First Principles）：無論科技與術語如何演變，人類核心認知能力始終建立在『理解複雜資訊（閱讀）』、『邏輯建構與驗證（證據推理）』以及『動手解決真實困境（建模）』三大支柱上。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【應答逐字稿】：</w:t>
      </w:r>
      <w:r>
        <w:rPr>
          <w:rFonts w:ascii="Microsoft JhengHei" w:hAnsi="Microsoft JhengHei"/>
          <w:i w:val="0"/>
          <w:color w:val="222222"/>
          <w:sz w:val="20"/>
        </w:rPr>
        <w:t>「老師的質疑非常深刻，甚至切中要害。教育界確實有太多追求時髦包裝的表面文章。但今天請大家把所有名詞標籤全部撕掉，看看我們骨子裡要求的是什麼：第一，學生能不能自己讀懂一篇長文章，而不是靠老師一口一口喂？第二，學生得出結論時，能不能拿出數據和事實說理，而不是瞎猜？第三，學生使用電腦和 AI 時，到底是大腦在主導，還是成了工具的奴隸？這三件事，50 年前是精英的標準，50 年後依然是人才的核心。新名詞只是工具，守護學生的獨立大腦才是唯一永恆的目標。我們不是為了造新詞，我們是在幫學生建立一輩子受用的真本事。」</w:t>
      </w:r>
    </w:p>
    <w:p>
      <w:pPr>
        <w:spacing w:after="80" w:line="288" w:lineRule="auto"/>
      </w:pPr>
      <w:r>
        <w:rPr>
          <w:rFonts w:ascii="Microsoft JhengHei" w:hAnsi="Microsoft JhengHei"/>
          <w:b/>
          <w:color w:val="222222"/>
          <w:sz w:val="20"/>
        </w:rPr>
        <w:t>【實施支架與底線】：</w:t>
      </w:r>
      <w:r>
        <w:rPr>
          <w:rFonts w:ascii="Microsoft JhengHei" w:hAnsi="Microsoft JhengHei"/>
          <w:i w:val="0"/>
          <w:color w:val="222222"/>
          <w:sz w:val="20"/>
        </w:rPr>
        <w:t>在所有校內溝通與工作坊中，盡量使用直白教學語言，把專業術語隱蔽在實踐操作之中，消除教師的疏離感。</w:t>
      </w:r>
    </w:p>
    <w:p>
      <w:pPr>
        <w:keepNext/>
        <w:spacing w:before="360" w:after="120"/>
      </w:pPr>
      <w:r>
        <w:rPr>
          <w:rFonts w:ascii="Microsoft JhengHei" w:hAnsi="Microsoft JhengHei"/>
          <w:b/>
          <w:color w:val="173B57"/>
          <w:sz w:val="28"/>
        </w:rPr>
        <w:t>第三部分：高階行政答辯破局四步法與「五大紅線」</w:t>
      </w:r>
    </w:p>
    <w:p>
      <w:pPr>
        <w:spacing w:after="80" w:line="288" w:lineRule="auto"/>
      </w:pPr>
      <w:r>
        <w:rPr>
          <w:rFonts w:ascii="Microsoft JhengHei" w:hAnsi="Microsoft JhengHei"/>
          <w:i w:val="0"/>
          <w:color w:val="222222"/>
          <w:sz w:val="20"/>
        </w:rPr>
        <w:t>在行政會議面臨不可預測的突發質詢時，匯報者應保持絕對冷靜，嚴格調用「破局四步法」心智模型：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12" w:space="0" w:color="173B57"/>
          <w:right w:val="none"/>
          <w:insideH w:val="single" w:sz="4" w:space="0" w:color="CBD5E0"/>
          <w:insideV w:val="none"/>
        </w:tblBorders>
      </w:tblPr>
      <w:tblGrid>
        <w:gridCol w:w="2610"/>
        <w:gridCol w:w="2610"/>
        <w:gridCol w:w="2610"/>
        <w:gridCol w:w="2610"/>
      </w:tblGrid>
      <w:tr>
        <w:trPr>
          <w:tblHeader/>
          <w:cantSplit/>
        </w:trPr>
        <w:tc>
          <w:tcPr>
            <w:tcW w:type="dxa" w:w="144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步驟序號</w:t>
            </w:r>
          </w:p>
        </w:tc>
        <w:tc>
          <w:tcPr>
            <w:tcW w:type="dxa" w:w="288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核心動作</w:t>
            </w:r>
          </w:p>
        </w:tc>
        <w:tc>
          <w:tcPr>
            <w:tcW w:type="dxa" w:w="3744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關鍵話術指引</w:t>
            </w:r>
          </w:p>
        </w:tc>
        <w:tc>
          <w:tcPr>
            <w:tcW w:type="dxa" w:w="2016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心理效果與目標</w:t>
            </w:r>
          </w:p>
        </w:tc>
      </w:tr>
      <w:tr>
        <w:trPr>
          <w:cantSplit/>
        </w:trPr>
        <w:tc>
          <w:tcPr>
            <w:tcW w:type="dxa" w:w="144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Step 1</w:t>
            </w:r>
          </w:p>
        </w:tc>
        <w:tc>
          <w:tcPr>
            <w:tcW w:type="dxa" w:w="288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共情認同 (Acknowledge &amp; Validate)</w:t>
            </w:r>
          </w:p>
        </w:tc>
        <w:tc>
          <w:tcPr>
            <w:tcW w:type="dxa" w:w="3744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「您指出的這個問題非常關鍵／這確實是一線最真實的痛點...」</w:t>
            </w:r>
          </w:p>
        </w:tc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化解對抗情緒，建立同盟感</w:t>
            </w:r>
          </w:p>
        </w:tc>
      </w:tr>
      <w:tr>
        <w:trPr>
          <w:cantSplit/>
        </w:trPr>
        <w:tc>
          <w:tcPr>
            <w:tcW w:type="dxa" w:w="144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Step 2</w:t>
            </w:r>
          </w:p>
        </w:tc>
        <w:tc>
          <w:tcPr>
            <w:tcW w:type="dxa" w:w="288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數據引證 (Pivot to Evidence)</w:t>
            </w:r>
          </w:p>
        </w:tc>
        <w:tc>
          <w:tcPr>
            <w:tcW w:type="dxa" w:w="3744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「而 PISA 數據與校內抽樣顯示的客觀事實是...」</w:t>
            </w:r>
          </w:p>
        </w:tc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將主觀爭論拉回客觀事實軌道</w:t>
            </w:r>
          </w:p>
        </w:tc>
      </w:tr>
      <w:tr>
        <w:trPr>
          <w:cantSplit/>
        </w:trPr>
        <w:tc>
          <w:tcPr>
            <w:tcW w:type="dxa" w:w="144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Step 3</w:t>
            </w:r>
          </w:p>
        </w:tc>
        <w:tc>
          <w:tcPr>
            <w:tcW w:type="dxa" w:w="288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降維解構 (Reframe &amp; Simplify)</w:t>
            </w:r>
          </w:p>
        </w:tc>
        <w:tc>
          <w:tcPr>
            <w:tcW w:type="dxa" w:w="3744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「這件事的底層邏輯並非 A 與 B 的對立，而是...」</w:t>
            </w:r>
          </w:p>
        </w:tc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破除兩難困境，展現戰略格局</w:t>
            </w:r>
          </w:p>
        </w:tc>
      </w:tr>
      <w:tr>
        <w:trPr>
          <w:cantSplit/>
        </w:trPr>
        <w:tc>
          <w:tcPr>
            <w:tcW w:type="dxa" w:w="144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Step 4</w:t>
            </w:r>
          </w:p>
        </w:tc>
        <w:tc>
          <w:tcPr>
            <w:tcW w:type="dxa" w:w="288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提供支架 (Provide Actionable Scaffold)</w:t>
            </w:r>
          </w:p>
        </w:tc>
        <w:tc>
          <w:tcPr>
            <w:tcW w:type="dxa" w:w="3744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「因此我們已為科組備妥了免除後顧之憂的具體操作...」</w:t>
            </w:r>
          </w:p>
        </w:tc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消除實施恐懼，鎖定支持意向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行政答辯「五大不可逾越的紅線」</w:t>
      </w:r>
    </w:p>
    <w:p>
      <w:pPr>
        <w:pStyle w:val="ListBullet"/>
        <w:spacing w:after="50" w:line="276" w:lineRule="auto"/>
      </w:pPr>
      <w:r>
        <w:rPr>
          <w:rFonts w:ascii="Microsoft JhengHei" w:hAnsi="Microsoft JhengHei"/>
          <w:color w:val="222222"/>
          <w:sz w:val="19"/>
        </w:rPr>
        <w:t>絕不當場推諉甩鍋：無論問及閱讀回落或數位分心，絕不將責任推給語文科、基層教師或學生素質，始終歸因於課程機制與評估設計。</w:t>
      </w:r>
    </w:p>
    <w:p>
      <w:pPr>
        <w:pStyle w:val="ListBullet"/>
        <w:spacing w:after="50" w:line="276" w:lineRule="auto"/>
      </w:pPr>
      <w:r>
        <w:rPr>
          <w:rFonts w:ascii="Microsoft JhengHei" w:hAnsi="Microsoft JhengHei"/>
          <w:color w:val="222222"/>
          <w:sz w:val="19"/>
        </w:rPr>
        <w:t>絕不空談抽象教育理論：答辯時禁止通篇背誦西方教育名詞，必須落腳於『教科書哪一頁、考卷哪一題、課堂哪十分鐘』的具體微調。</w:t>
      </w:r>
    </w:p>
    <w:p>
      <w:pPr>
        <w:pStyle w:val="ListBullet"/>
        <w:spacing w:after="50" w:line="276" w:lineRule="auto"/>
      </w:pPr>
      <w:r>
        <w:rPr>
          <w:rFonts w:ascii="Microsoft JhengHei" w:hAnsi="Microsoft JhengHei"/>
          <w:color w:val="222222"/>
          <w:sz w:val="19"/>
        </w:rPr>
        <w:t>絕不採取一刀切行政強推：尊重不同學科的學科本質差異，數理科重建模、語文科重多文本、科學重 CER，允許科組自主選擇試點單元。</w:t>
      </w:r>
    </w:p>
    <w:p>
      <w:pPr>
        <w:pStyle w:val="ListBullet"/>
        <w:spacing w:after="50" w:line="276" w:lineRule="auto"/>
      </w:pPr>
      <w:r>
        <w:rPr>
          <w:rFonts w:ascii="Microsoft JhengHei" w:hAnsi="Microsoft JhengHei"/>
          <w:color w:val="222222"/>
          <w:sz w:val="19"/>
        </w:rPr>
        <w:t>絕不低估一線工作負擔：正視進度與批改壓力，每次提出新要求時，必須同時配套提出『一項現有繁冗任務的減量與折抵方案』。</w:t>
      </w:r>
    </w:p>
    <w:p>
      <w:pPr>
        <w:pStyle w:val="ListBullet"/>
        <w:spacing w:after="50" w:line="276" w:lineRule="auto"/>
      </w:pPr>
      <w:r>
        <w:rPr>
          <w:rFonts w:ascii="Microsoft JhengHei" w:hAnsi="Microsoft JhengHei"/>
          <w:color w:val="222222"/>
          <w:sz w:val="19"/>
        </w:rPr>
        <w:t>絕不迴避量化考核與責任承諾：主動提出三年量化 KPI 與階段檢核節點，以專業自信承擔課程發展的領導責任。</w:t>
      </w:r>
    </w:p>
    <w:p>
      <w:pPr>
        <w:keepNext/>
        <w:spacing w:before="360" w:after="120"/>
      </w:pPr>
      <w:r>
        <w:rPr>
          <w:rFonts w:ascii="Microsoft JhengHei" w:hAnsi="Microsoft JhengHei"/>
          <w:b/>
          <w:color w:val="173B57"/>
          <w:sz w:val="28"/>
        </w:rPr>
        <w:t>第四部分：45 分鐘行政會議全流程模擬演練劇本（Facilitator Script）</w:t>
      </w:r>
    </w:p>
    <w:p>
      <w:pPr>
        <w:spacing w:after="80" w:line="288" w:lineRule="auto"/>
      </w:pPr>
      <w:r>
        <w:rPr>
          <w:rFonts w:ascii="Microsoft JhengHei" w:hAnsi="Microsoft JhengHei"/>
          <w:i w:val="0"/>
          <w:color w:val="222222"/>
          <w:sz w:val="20"/>
        </w:rPr>
        <w:t>本劇本供課程發展處團隊在召開正式行政會議前，進行內部紅藍軍對抗演練（Role-play Simulation）專用。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12" w:space="0" w:color="173B57"/>
          <w:right w:val="none"/>
          <w:insideH w:val="single" w:sz="4" w:space="0" w:color="CBD5E0"/>
          <w:insideV w:val="none"/>
        </w:tblBorders>
      </w:tblPr>
      <w:tblGrid>
        <w:gridCol w:w="2610"/>
        <w:gridCol w:w="2610"/>
        <w:gridCol w:w="2610"/>
        <w:gridCol w:w="2610"/>
      </w:tblGrid>
      <w:tr>
        <w:trPr>
          <w:tblHeader/>
          <w:cantSplit/>
        </w:trPr>
        <w:tc>
          <w:tcPr>
            <w:tcW w:type="dxa" w:w="1584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時間配比</w:t>
            </w:r>
          </w:p>
        </w:tc>
        <w:tc>
          <w:tcPr>
            <w:tcW w:type="dxa" w:w="2016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會議環節</w:t>
            </w:r>
          </w:p>
        </w:tc>
        <w:tc>
          <w:tcPr>
            <w:tcW w:type="dxa" w:w="216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主控角色</w:t>
            </w:r>
          </w:p>
        </w:tc>
        <w:tc>
          <w:tcPr>
            <w:tcW w:type="dxa" w:w="432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演練目標與核心任務</w:t>
            </w:r>
          </w:p>
        </w:tc>
      </w:tr>
      <w:tr>
        <w:trPr>
          <w:cantSplit/>
        </w:trPr>
        <w:tc>
          <w:tcPr>
            <w:tcW w:type="dxa" w:w="1584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00–10 分鐘</w:t>
            </w:r>
          </w:p>
        </w:tc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專題簡報匯報</w:t>
            </w:r>
          </w:p>
        </w:tc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課程發展助理主任</w:t>
            </w:r>
          </w:p>
        </w:tc>
        <w:tc>
          <w:tcPr>
            <w:tcW w:type="dxa" w:w="432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完整投放 15 頁行政 PPTX，完成 5 分鐘高階電梯簡報，拋出核心主張</w:t>
            </w:r>
          </w:p>
        </w:tc>
      </w:tr>
      <w:tr>
        <w:trPr>
          <w:cantSplit/>
        </w:trPr>
        <w:tc>
          <w:tcPr>
            <w:tcW w:type="dxa" w:w="1584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10–25 分鐘</w:t>
            </w:r>
          </w:p>
        </w:tc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高階行政與教務攻防</w:t>
            </w:r>
          </w:p>
        </w:tc>
        <w:tc>
          <w:tcPr>
            <w:tcW w:type="dxa" w:w="216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校長 / 教務主任</w:t>
            </w:r>
          </w:p>
        </w:tc>
        <w:tc>
          <w:tcPr>
            <w:tcW w:type="dxa" w:w="432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重點爆發 Q1（改革必要性）、Q3（進度衝擊）、Q5（科技政策一致性）質詢</w:t>
            </w:r>
          </w:p>
        </w:tc>
      </w:tr>
      <w:tr>
        <w:trPr>
          <w:cantSplit/>
        </w:trPr>
        <w:tc>
          <w:tcPr>
            <w:tcW w:type="dxa" w:w="1584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25–35 分鐘</w:t>
            </w:r>
          </w:p>
        </w:tc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學科組長現場交鋒</w:t>
            </w:r>
          </w:p>
        </w:tc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各科主任 / 工會代表</w:t>
            </w:r>
          </w:p>
        </w:tc>
        <w:tc>
          <w:tcPr>
            <w:tcW w:type="dxa" w:w="432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重點爆發 Q2（閱讀跨科分攤）、Q8（批改負擔爆炸）、Q12（時髦術語質疑）</w:t>
            </w:r>
          </w:p>
        </w:tc>
      </w:tr>
      <w:tr>
        <w:trPr>
          <w:cantSplit/>
        </w:trPr>
        <w:tc>
          <w:tcPr>
            <w:tcW w:type="dxa" w:w="1584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35–42 分鐘</w:t>
            </w:r>
          </w:p>
        </w:tc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方案優化與邊界妥協</w:t>
            </w:r>
          </w:p>
        </w:tc>
        <w:tc>
          <w:tcPr>
            <w:tcW w:type="dxa" w:w="216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全體委員</w:t>
            </w:r>
          </w:p>
        </w:tc>
        <w:tc>
          <w:tcPr>
            <w:tcW w:type="dxa" w:w="432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針對共同備課節數、減量折抵機制與試點單元數量達成共識妥協</w:t>
            </w:r>
          </w:p>
        </w:tc>
      </w:tr>
      <w:tr>
        <w:trPr>
          <w:cantSplit/>
        </w:trPr>
        <w:tc>
          <w:tcPr>
            <w:tcW w:type="dxa" w:w="1584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42–45 分鐘</w:t>
            </w:r>
          </w:p>
        </w:tc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校長拍板決策與總結</w:t>
            </w:r>
          </w:p>
        </w:tc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校長 / 會議主席</w:t>
            </w:r>
          </w:p>
        </w:tc>
        <w:tc>
          <w:tcPr>
            <w:tcW w:type="dxa" w:w="432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宣讀會議決議，簽署推進指令，落實跨電腦 PROJECT_STATE 追蹤</w:t>
            </w:r>
          </w:p>
        </w:tc>
      </w:tr>
    </w:tbl>
    <w:p>
      <w:pPr>
        <w:spacing w:before="0" w:after="80"/>
      </w:pPr>
    </w:p>
    <w:p>
      <w:pPr>
        <w:keepNext/>
        <w:spacing w:before="260" w:after="80"/>
      </w:pPr>
      <w:r>
        <w:rPr>
          <w:rFonts w:ascii="Microsoft JhengHei" w:hAnsi="Microsoft JhengHei"/>
          <w:b/>
          <w:color w:val="2C6E91"/>
          <w:sz w:val="23"/>
        </w:rPr>
        <w:t>校長（會議主席）決策收斂逐字稿範本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10080"/>
            <w:shd w:fill="F7FAFC" w:val="clear"/>
            <w:tcBorders>
              <w:top w:val="none"/>
              <w:left w:val="single" w:sz="28" w:space="0" w:color="173B57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Microsoft JhengHei" w:hAnsi="Microsoft JhengHei"/>
                <w:b/>
                <w:color w:val="173B57"/>
                <w:sz w:val="21"/>
              </w:rPr>
              <w:t>【會議主席（校長）拍板決策詞 (Closing Mandate)】</w:t>
              <w:br/>
            </w:r>
            <w:r>
              <w:rPr>
                <w:rFonts w:ascii="Microsoft JhengHei" w:hAnsi="Microsoft JhengHei"/>
                <w:color w:val="222222"/>
                <w:sz w:val="19"/>
              </w:rPr>
              <w:t>「各位同工，今天的討論非常充分，甚至帶有火藥味，這說明大家都對學校懷有高度的責任心。正如剛才助理主任分析的，PISA 亮眼成績是昨天的榮譽，如果我們今天對閱讀下滑 9 分和數位分心 -24 分視而不見，三年後我們就會被時代淘汰。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剛才各科主任提出的負擔問題非常實際，學校行政會絕不讓老師單打獨鬥。我正式宣布三項決議：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第一，拍板通過《PISA 2025 校本課程改革實施計畫》，本學年列為全校戰略重點；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第二，落實『減量換升級』原則。教務處本週重新核定各科作業量，砍掉 30% 機械抄寫，騰出時間給長情境建模；為各科組每週排定 1 節不可挪用的共同備課課時；</w:t>
            </w:r>
          </w:p>
          <w:p>
            <w:pPr>
              <w:spacing w:before="40" w:after="40" w:line="288" w:lineRule="auto"/>
            </w:pPr>
            <w:r>
              <w:rPr>
                <w:rFonts w:ascii="Microsoft JhengHei" w:hAnsi="Microsoft JhengHei"/>
                <w:color w:val="222222"/>
                <w:sz w:val="19"/>
              </w:rPr>
              <w:t>第三，各科主任牽頭，在 30 天內完成本組課程審計基線填寫。教務處與課程發展處做好全程專業支架。散會！」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Microsoft JhengHei" w:hAnsi="Microsoft JhengHei"/>
          <w:b/>
          <w:color w:val="173B57"/>
          <w:sz w:val="28"/>
        </w:rPr>
        <w:t>附錄：行政備詢核心數據速查手卡與名詞對照表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12" w:space="0" w:color="173B57"/>
          <w:right w:val="none"/>
          <w:insideH w:val="single" w:sz="4" w:space="0" w:color="CBD5E0"/>
          <w:insideV w:val="none"/>
        </w:tblBorders>
      </w:tblPr>
      <w:tblGrid>
        <w:gridCol w:w="2610"/>
        <w:gridCol w:w="2610"/>
        <w:gridCol w:w="2610"/>
        <w:gridCol w:w="2610"/>
      </w:tblGrid>
      <w:tr>
        <w:trPr>
          <w:tblHeader/>
          <w:cantSplit/>
        </w:trPr>
        <w:tc>
          <w:tcPr>
            <w:tcW w:type="dxa" w:w="2016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指標領域</w:t>
            </w:r>
          </w:p>
        </w:tc>
        <w:tc>
          <w:tcPr>
            <w:tcW w:type="dxa" w:w="1872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澳門具體數值</w:t>
            </w:r>
          </w:p>
        </w:tc>
        <w:tc>
          <w:tcPr>
            <w:tcW w:type="dxa" w:w="2592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國際排名 / 參照</w:t>
            </w:r>
          </w:p>
        </w:tc>
        <w:tc>
          <w:tcPr>
            <w:tcW w:type="dxa" w:w="360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行政決策備詢解讀要點</w:t>
            </w:r>
          </w:p>
        </w:tc>
      </w:tr>
      <w:tr>
        <w:trPr>
          <w:cantSplit/>
        </w:trPr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運算解難 (CPS)</w:t>
            </w:r>
          </w:p>
        </w:tc>
        <w:tc>
          <w:tcPr>
            <w:tcW w:type="dxa" w:w="187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572 分</w:t>
            </w:r>
          </w:p>
        </w:tc>
        <w:tc>
          <w:tcPr>
            <w:tcW w:type="dxa" w:w="259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全球第 1 🥇 (尖子佔 53.7%)</w:t>
            </w:r>
          </w:p>
        </w:tc>
        <w:tc>
          <w:tcPr>
            <w:tcW w:type="dxa" w:w="360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長板極長，證明學生具備超強邏輯潛能，必須引導遷移至數理與人文閱讀</w:t>
            </w:r>
          </w:p>
        </w:tc>
      </w:tr>
      <w:tr>
        <w:trPr>
          <w:cantSplit/>
        </w:trPr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數學素養 (Math)</w:t>
            </w:r>
          </w:p>
        </w:tc>
        <w:tc>
          <w:tcPr>
            <w:tcW w:type="dxa" w:w="187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549 分</w:t>
            </w:r>
          </w:p>
        </w:tc>
        <w:tc>
          <w:tcPr>
            <w:tcW w:type="dxa" w:w="259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全球第 3 🥉 (尖子佔 28.8%)</w:t>
            </w:r>
          </w:p>
        </w:tc>
        <w:tc>
          <w:tcPr>
            <w:tcW w:type="dxa" w:w="360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高位穩定，但校內 P10–P90 差距擴大，需從純刷題轉向真實情境建模</w:t>
            </w:r>
          </w:p>
        </w:tc>
      </w:tr>
      <w:tr>
        <w:trPr>
          <w:cantSplit/>
        </w:trPr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科學素養 (Science)</w:t>
            </w:r>
          </w:p>
        </w:tc>
        <w:tc>
          <w:tcPr>
            <w:tcW w:type="dxa" w:w="187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541 分</w:t>
            </w:r>
          </w:p>
        </w:tc>
        <w:tc>
          <w:tcPr>
            <w:tcW w:type="dxa" w:w="259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全球第 3 🥉 (低成就僅 7.9%)</w:t>
            </w:r>
          </w:p>
        </w:tc>
        <w:tc>
          <w:tcPr>
            <w:tcW w:type="dxa" w:w="360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公平性極高（社經變異僅解釋 45 分），但實驗課數位分心造成 -24 分衝擊</w:t>
            </w:r>
          </w:p>
        </w:tc>
      </w:tr>
      <w:tr>
        <w:trPr>
          <w:cantSplit/>
        </w:trPr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閱讀素養 (Reading)</w:t>
            </w:r>
          </w:p>
        </w:tc>
        <w:tc>
          <w:tcPr>
            <w:tcW w:type="dxa" w:w="187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501 分</w:t>
            </w:r>
          </w:p>
        </w:tc>
        <w:tc>
          <w:tcPr>
            <w:tcW w:type="dxa" w:w="259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全球第 5 ⚠️ (較2022下滑 9分)</w:t>
            </w:r>
          </w:p>
        </w:tc>
        <w:tc>
          <w:tcPr>
            <w:tcW w:type="dxa" w:w="360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關鍵短板！高表現尖子僅 7.0%（新加坡 23%），非連續多文本能力急需補強</w:t>
            </w:r>
          </w:p>
        </w:tc>
      </w:tr>
      <w:tr>
        <w:trPr>
          <w:cantSplit/>
        </w:trPr>
        <w:tc>
          <w:tcPr>
            <w:tcW w:type="dxa" w:w="2016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學習投入度</w:t>
            </w:r>
          </w:p>
        </w:tc>
        <w:tc>
          <w:tcPr>
            <w:tcW w:type="dxa" w:w="187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歸屬感 78.1% vs 成長思維 45%</w:t>
            </w:r>
          </w:p>
        </w:tc>
        <w:tc>
          <w:tcPr>
            <w:tcW w:type="dxa" w:w="2592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歸屬高於OECD，探究動機低</w:t>
            </w:r>
          </w:p>
        </w:tc>
        <w:tc>
          <w:tcPr>
            <w:tcW w:type="dxa" w:w="360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典型『高分低投入』文化，需以真實問題解決打破被動刷題倦怠</w:t>
            </w:r>
          </w:p>
        </w:tc>
      </w:tr>
      <w:tr>
        <w:trPr>
          <w:cantSplit/>
        </w:trPr>
        <w:tc>
          <w:tcPr>
            <w:tcW w:type="dxa" w:w="2016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AI 普及與分心</w:t>
            </w:r>
          </w:p>
        </w:tc>
        <w:tc>
          <w:tcPr>
            <w:tcW w:type="dxa" w:w="187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每週使用 AI 達 67%</w:t>
            </w:r>
          </w:p>
        </w:tc>
        <w:tc>
          <w:tcPr>
            <w:tcW w:type="dxa" w:w="2592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科學課受分心達 13% (-24分)</w:t>
            </w:r>
          </w:p>
        </w:tc>
        <w:tc>
          <w:tcPr>
            <w:tcW w:type="dxa" w:w="360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必須剛性落實『3D 專注規程』與『防認知外包四大防線』，杜絕心智萎縮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0"/>
          <w:left w:val="none"/>
          <w:bottom w:val="single" w:sz="12" w:space="0" w:color="173B57"/>
          <w:right w:val="none"/>
          <w:insideH w:val="single" w:sz="4" w:space="0" w:color="CBD5E0"/>
          <w:insideV w:val="none"/>
        </w:tblBorders>
      </w:tblPr>
      <w:tblGrid>
        <w:gridCol w:w="3480"/>
        <w:gridCol w:w="3480"/>
        <w:gridCol w:w="3480"/>
      </w:tblGrid>
      <w:tr>
        <w:trPr>
          <w:tblHeader/>
          <w:cantSplit/>
        </w:trPr>
        <w:tc>
          <w:tcPr>
            <w:tcW w:type="dxa" w:w="216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專業名詞</w:t>
            </w:r>
          </w:p>
        </w:tc>
        <w:tc>
          <w:tcPr>
            <w:tcW w:type="dxa" w:w="288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全稱 / 出處</w:t>
            </w:r>
          </w:p>
        </w:tc>
        <w:tc>
          <w:tcPr>
            <w:tcW w:type="dxa" w:w="5040"/>
            <w:shd w:fill="173B57" w:val="clea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8"/>
              </w:rPr>
              <w:t>通俗化教學語言解釋（給行政與教師）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Disciplinary Literacy</w:t>
            </w:r>
          </w:p>
        </w:tc>
        <w:tc>
          <w:tcPr>
            <w:tcW w:type="dxa" w:w="288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學科閱讀素養</w:t>
            </w:r>
          </w:p>
        </w:tc>
        <w:tc>
          <w:tcPr>
            <w:tcW w:type="dxa" w:w="504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不是語文閱讀，而是各科專業文獻閱讀（如讀懂數學長題幹、科學實驗圖表、資訊 API 規格）。</w:t>
            </w:r>
          </w:p>
        </w:tc>
      </w:tr>
      <w:tr>
        <w:trPr>
          <w:cantSplit/>
        </w:trPr>
        <w:tc>
          <w:tcPr>
            <w:tcW w:type="dxa" w:w="216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CER 框架</w:t>
            </w:r>
          </w:p>
        </w:tc>
        <w:tc>
          <w:tcPr>
            <w:tcW w:type="dxa" w:w="288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Claim-Evidence-Reasoning</w:t>
            </w:r>
          </w:p>
        </w:tc>
        <w:tc>
          <w:tcPr>
            <w:tcW w:type="dxa" w:w="504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科學說理三步法：先說你的主張（C），拿出實驗數據證據（E），用科學唯理定律把兩者串起來（R）。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Q-V-R-E-R</w:t>
            </w:r>
          </w:p>
        </w:tc>
        <w:tc>
          <w:tcPr>
            <w:tcW w:type="dxa" w:w="288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Question-Verify-Refine-Evaluate-Reflect</w:t>
            </w:r>
          </w:p>
        </w:tc>
        <w:tc>
          <w:tcPr>
            <w:tcW w:type="dxa" w:w="504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AI 防外包五步法：角色提問（Q）、多源核實（V）、迭代優化（R）、批判偏誤（E）、口頭答辯（R）。</w:t>
            </w:r>
          </w:p>
        </w:tc>
      </w:tr>
      <w:tr>
        <w:trPr>
          <w:cantSplit/>
        </w:trPr>
        <w:tc>
          <w:tcPr>
            <w:tcW w:type="dxa" w:w="216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3D 數位專注</w:t>
            </w:r>
          </w:p>
        </w:tc>
        <w:tc>
          <w:tcPr>
            <w:tcW w:type="dxa" w:w="288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Device-Down / On-task / Viva</w:t>
            </w:r>
          </w:p>
        </w:tc>
        <w:tc>
          <w:tcPr>
            <w:tcW w:type="dxa" w:w="5040"/>
            <w:shd w:fill="F0F4F8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課堂專注三步律：屏幕朝下先構思、限時 10 分鐘受控查資料、斷網口頭答辯。</w:t>
            </w:r>
          </w:p>
        </w:tc>
      </w:tr>
      <w:tr>
        <w:trPr>
          <w:cantSplit/>
        </w:trPr>
        <w:tc>
          <w:tcPr>
            <w:tcW w:type="dxa" w:w="216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/>
                <w:color w:val="222222"/>
                <w:sz w:val="17"/>
              </w:rPr>
              <w:t>MTSS</w:t>
            </w:r>
          </w:p>
        </w:tc>
        <w:tc>
          <w:tcPr>
            <w:tcW w:type="dxa" w:w="288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Multi-Tiered System of Supports</w:t>
            </w:r>
          </w:p>
        </w:tc>
        <w:tc>
          <w:tcPr>
            <w:tcW w:type="dxa" w:w="5040"/>
            <w:shd w:fill="FFFFFF" w:val="clear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/>
                <w:color w:val="222222"/>
                <w:sz w:val="17"/>
              </w:rPr>
              <w:t>多層級支援架構：Tier 1 全班優質教學、Tier 2 小組靶向加固、Tier 3 個別階梯深層扶助。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/>
        <w:color w:val="5B6770"/>
        <w:sz w:val="16"/>
      </w:rPr>
      <w:t>機密備詢文件 · 供課程發展處、校長室及教務委員會答辯演練專用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color w:val="5B6770"/>
        <w:sz w:val="16"/>
      </w:rPr>
      <w:t>PISA 2025 校本課程改革專題 | 行政會議演練與高階 Q&amp;A 備詢手冊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