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3A5C"/>
          <w:sz w:val="72"/>
          <w:szCs w:val="72"/>
        </w:rPr>
        <w:t xml:space="preserve">GUTTENBERG</w:t>
      </w:r>
    </w:p>
    <w:p>
      <w:pPr>
        <w:spacing w:before="0" w:after="120"/>
        <w:jc w:val="center"/>
      </w:pPr>
      <w:r>
        <w:rPr>
          <w:rFonts w:ascii="Arial" w:cs="Arial" w:eastAsia="Arial" w:hAnsi="Arial"/>
          <w:color w:val="C9A84C"/>
          <w:sz w:val="36"/>
          <w:szCs w:val="36"/>
        </w:rPr>
        <w:t xml:space="preserve">Self-Publishing Application</w:t>
      </w:r>
    </w:p>
    <w:p>
      <w:pPr>
        <w:spacing w:before="480" w:after="80"/>
        <w:jc w:val="center"/>
      </w:pPr>
      <w:r>
        <w:rPr>
          <w:rFonts w:ascii="Arial" w:cs="Arial" w:eastAsia="Arial" w:hAnsi="Arial"/>
          <w:b/>
          <w:bCs/>
          <w:color w:val="333333"/>
          <w:sz w:val="28"/>
          <w:szCs w:val="28"/>
        </w:rPr>
        <w:t xml:space="preserve">Functional Design Document (FDD)</w:t>
      </w:r>
    </w:p>
    <w:p>
      <w:pPr>
        <w:spacing w:before="80" w:after="80"/>
        <w:jc w:val="center"/>
      </w:pPr>
      <w:r>
        <w:rPr>
          <w:rFonts w:ascii="Arial" w:cs="Arial" w:eastAsia="Arial" w:hAnsi="Arial"/>
          <w:color w:val="555555"/>
          <w:sz w:val="22"/>
          <w:szCs w:val="22"/>
        </w:rPr>
        <w:t xml:space="preserve">Master Prose Platform Ecosystem</w:t>
      </w:r>
    </w:p>
    <w:p>
      <w:pPr>
        <w:spacing w:before="120" w:after="12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18"/>
                <w:szCs w:val="18"/>
              </w:rPr>
              <w:t xml:space="preserve">Document Version</w:t>
            </w:r>
          </w:p>
        </w:tc>
        <w:tc>
          <w:tcPr>
            <w:tcW w:type="dxa" w:w="25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1.0 — Initial Release</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18"/>
                <w:szCs w:val="18"/>
              </w:rPr>
              <w:t xml:space="preserve">Prepared By</w:t>
            </w:r>
          </w:p>
        </w:tc>
        <w:tc>
          <w:tcPr>
            <w:tcW w:type="dxa" w:w="25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The Auditor's Forge</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18"/>
                <w:szCs w:val="18"/>
              </w:rPr>
              <w:t xml:space="preserve">Date</w:t>
            </w:r>
          </w:p>
        </w:tc>
        <w:tc>
          <w:tcPr>
            <w:tcW w:type="dxa" w:w="25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February 2026</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18"/>
                <w:szCs w:val="18"/>
              </w:rPr>
              <w:t xml:space="preserve">RDD Reference</w:t>
            </w:r>
          </w:p>
        </w:tc>
        <w:tc>
          <w:tcPr>
            <w:tcW w:type="dxa" w:w="25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Guttenberg RDD v1.0</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18"/>
                <w:szCs w:val="18"/>
              </w:rPr>
              <w:t xml:space="preserve">Classification</w:t>
            </w:r>
          </w:p>
        </w:tc>
        <w:tc>
          <w:tcPr>
            <w:tcW w:type="dxa" w:w="25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Confidential</w:t>
            </w:r>
          </w:p>
        </w:tc>
      </w:tr>
    </w:tbl>
    <w:p>
      <w:pPr>
        <w:spacing w:before="120" w:after="120"/>
      </w:pPr>
      <w:r>
        <w:t xml:space="preserve"/>
      </w:r>
    </w:p>
    <w:p>
      <w:pPr>
        <w:spacing w:before="480"/>
        <w:jc w:val="center"/>
      </w:pPr>
      <w:r>
        <w:rPr>
          <w:rFonts w:ascii="Arial" w:cs="Arial" w:eastAsia="Arial" w:hAnsi="Arial"/>
          <w:i/>
          <w:iCs/>
          <w:color w:val="C9A84C"/>
          <w:sz w:val="22"/>
          <w:szCs w:val="22"/>
        </w:rPr>
        <w:t xml:space="preserve">"Where Perfect Prose Finds Its Audience"</w:t>
      </w:r>
    </w:p>
    <w:p>
      <w:r>
        <w:br w:type="page"/>
      </w:r>
    </w:p>
    <w:p>
      <w:pPr>
        <w:pStyle w:val="Heading1"/>
        <w:spacing w:before="360" w:after="120"/>
      </w:pPr>
      <w:r>
        <w:rPr>
          <w:rFonts w:ascii="Arial" w:cs="Arial" w:eastAsia="Arial" w:hAnsi="Arial"/>
          <w:b/>
          <w:bCs/>
          <w:color w:val="1B3A5C"/>
          <w:sz w:val="32"/>
          <w:szCs w:val="32"/>
        </w:rPr>
        <w:t xml:space="preserve">1. Purpose and Scope</w:t>
      </w:r>
    </w:p>
    <w:p>
      <w:pPr>
        <w:pStyle w:val="Heading2"/>
        <w:spacing w:before="240" w:after="80"/>
      </w:pPr>
      <w:r>
        <w:rPr>
          <w:rFonts w:ascii="Arial" w:cs="Arial" w:eastAsia="Arial" w:hAnsi="Arial"/>
          <w:b/>
          <w:bCs/>
          <w:color w:val="1B3A5C"/>
          <w:sz w:val="26"/>
          <w:szCs w:val="26"/>
        </w:rPr>
        <w:t xml:space="preserve">1.1 Document Purpose</w:t>
      </w:r>
    </w:p>
    <w:p>
      <w:pPr>
        <w:spacing w:before="80" w:after="80"/>
      </w:pPr>
      <w:r>
        <w:rPr>
          <w:rFonts w:ascii="Arial" w:cs="Arial" w:eastAsia="Arial" w:hAnsi="Arial"/>
          <w:sz w:val="20"/>
          <w:szCs w:val="20"/>
        </w:rPr>
        <w:t xml:space="preserve">This Functional Design Document (FDD) specifies how the Guttenberg self-publishing application implements the requirements defined in the Guttenberg Requirements Definition Document (RDD v1.0). It provides the detailed functional design for each feature module, including data models, workflow logic, API interfaces, user interface descriptions, integration patterns, and validation rules. This document serves as the authoritative specification for development teams building Guttenberg.</w:t>
      </w:r>
    </w:p>
    <w:p>
      <w:pPr>
        <w:spacing w:before="120" w:after="120"/>
      </w:pPr>
      <w:r>
        <w:t xml:space="preserve"/>
      </w:r>
    </w:p>
    <w:p>
      <w:pPr>
        <w:pStyle w:val="Heading2"/>
        <w:spacing w:before="240" w:after="80"/>
      </w:pPr>
      <w:r>
        <w:rPr>
          <w:rFonts w:ascii="Arial" w:cs="Arial" w:eastAsia="Arial" w:hAnsi="Arial"/>
          <w:b/>
          <w:bCs/>
          <w:color w:val="1B3A5C"/>
          <w:sz w:val="26"/>
          <w:szCs w:val="26"/>
        </w:rPr>
        <w:t xml:space="preserve">1.2 System Architecture Overview</w:t>
      </w:r>
    </w:p>
    <w:p>
      <w:pPr>
        <w:spacing w:before="80" w:after="80"/>
      </w:pPr>
      <w:r>
        <w:rPr>
          <w:rFonts w:ascii="Arial" w:cs="Arial" w:eastAsia="Arial" w:hAnsi="Arial"/>
          <w:sz w:val="20"/>
          <w:szCs w:val="20"/>
        </w:rPr>
        <w:t xml:space="preserve">Guttenberg is implemented as a cloud-native, microservices-based web application within the Master Prose Platform ecosystem. The system is decomposed into independent service domains that communicate via a shared event bus and REST APIs. The following services constitute the Guttenberg backend: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Primary Integrations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Manuscript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 upload, validation, versioning, format conversion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Storage (Google Drive, S3), Format Engine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Metadata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Book data management, ONIX generation, channel validation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Service, ISBN Service, Refinery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ISBN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ISBN purchase, assignment, and registration with Bowker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Bowker API, Metadata 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Format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Interior formatting, EPUB/PDF/MOBI generation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Manuscript Service, Template Library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Cover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Cover upload, validation, barcode injection, design tool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Manuscript Service, Distribution 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 submission orchestration, status tracking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KDP API, IngramSpark API, Apple Books API, B&amp;N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Royalty calculation, earnings aggregation, payment disbursement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Service, Stripe API, Tax 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Marketing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 pages, press kits, ARC management, Scrybe sync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Scrybe API, Email 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Analytics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 data aggregation, dashboards, reporting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Service, Finance 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SSO integration with Master Prose Platform accounts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MPP Identity 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Notification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in-app, and SMS notifications for workflow events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services</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Technology / Platform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Frontend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React 18 with TypeScript; Tailwind CSS; responsive PWA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Gateway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 over HTTPS; GraphQL for complex dashboard queries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Backend Services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Node.js (TypeScript) microservices; Docker containers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Job Queue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Redis + Bull for async format jobs and distribution submissions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Message Bus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AWS EventBridge for cross-service event propagation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 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AWS S3 (primary); Google Drive integration for author imports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PostgreSQL (relational data); Redis (caching/sessions); Elasticsearch (search)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AWS CloudFront for static assets and book cover delivery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Infrastructure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AWS (ECS Fargate, RDS, ElastiCache); Terraform IaC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Monitoring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Datadog APM; PagerDuty alerting; Sentry error tracking</w:t>
            </w:r>
          </w:p>
        </w:tc>
      </w:tr>
    </w:tbl>
    <w:p>
      <w:r>
        <w:br w:type="page"/>
      </w:r>
    </w:p>
    <w:p>
      <w:pPr>
        <w:pStyle w:val="Heading1"/>
        <w:spacing w:before="360" w:after="120"/>
      </w:pPr>
      <w:r>
        <w:rPr>
          <w:rFonts w:ascii="Arial" w:cs="Arial" w:eastAsia="Arial" w:hAnsi="Arial"/>
          <w:b/>
          <w:bCs/>
          <w:color w:val="1B3A5C"/>
          <w:sz w:val="32"/>
          <w:szCs w:val="32"/>
        </w:rPr>
        <w:t xml:space="preserve">2. Core Data Models</w:t>
      </w:r>
    </w:p>
    <w:p>
      <w:pPr>
        <w:pStyle w:val="Heading2"/>
        <w:spacing w:before="240" w:after="80"/>
      </w:pPr>
      <w:r>
        <w:rPr>
          <w:rFonts w:ascii="Arial" w:cs="Arial" w:eastAsia="Arial" w:hAnsi="Arial"/>
          <w:b/>
          <w:bCs/>
          <w:color w:val="1B3A5C"/>
          <w:sz w:val="26"/>
          <w:szCs w:val="26"/>
        </w:rPr>
        <w:t xml:space="preserve">2.1 Title Object</w:t>
      </w:r>
    </w:p>
    <w:p>
      <w:pPr>
        <w:spacing w:before="80" w:after="80"/>
      </w:pPr>
      <w:r>
        <w:rPr>
          <w:rFonts w:ascii="Arial" w:cs="Arial" w:eastAsia="Arial" w:hAnsi="Arial"/>
          <w:sz w:val="20"/>
          <w:szCs w:val="20"/>
        </w:rPr>
        <w:t xml:space="preserve">The Title is the central data entity in Guttenberg. All other objects (formats, distribution records, sales data) are linked to a Title.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title_id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key — generated on creation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or publisher account owner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imprint_id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(FK,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Associated publisher imprint (small press)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refinery_manuscript_id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 to source manuscript in The Refinery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VARCHAR(500)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title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VARCHAR(500,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Subtitle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series_name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VARCHAR(255,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Series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series_number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DECIMAL(5,2,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 in series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primary_author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VARCHAR(255)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author display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contributors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contributor objects {name, role, bio}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synopsis_short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Short description (max 400 chars)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synopsis_long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Long description (max 4000 chars)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bisac_codes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 to 7 BISAC subject codes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keywords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VARCHAR(100)[]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 to 7 search keywords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language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CHAR(2)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ISO 639-1 language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publication_date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Intended or actual publication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edition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Edition descriptor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audience_age_min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Minimum reader 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audience_age_max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Maximum reader 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content_advisories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VARCHAR(100)[]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 warnings from Refinery or manual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publishing_readiness_score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DECIMAL(5,2)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Score from Refinery integration (0–100)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draft | formatting | ready | submitted | live | unlisted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TIMESTAMP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Record creation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TIMESTAMP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Last update timestamp</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2.2 Format Object</w:t>
      </w:r>
    </w:p>
    <w:p>
      <w:pPr>
        <w:spacing w:before="80" w:after="80"/>
      </w:pPr>
      <w:r>
        <w:rPr>
          <w:rFonts w:ascii="Arial" w:cs="Arial" w:eastAsia="Arial" w:hAnsi="Arial"/>
          <w:sz w:val="20"/>
          <w:szCs w:val="20"/>
        </w:rPr>
        <w:t xml:space="preserve">Each Title may have multiple Format records — one per publication format. ISBNs are assigned at the Format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title_id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Parent title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format_type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ebook | paperback | hardcover | audiobook | large_print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isbn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VARCHAR(13,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Assigned ISBN-13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isbn_source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platform_purchased | author_supplied | free_kdp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trim_size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VARCHAR(20,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 '6x9' — print formats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page_count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Calculated from formatted interior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file_id_interior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(FK,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 to formatted interior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file_id_cover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(FK,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 to cover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list_price_usd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DECIMAL(8,2)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Author-set list price in USD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channel_pricing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Per-channel price overrides {channel_id: 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drm_enabled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DRM enabled for digital formats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draft | ready | submitted | live</w:t>
            </w:r>
          </w:p>
        </w:tc>
      </w:tr>
    </w:tbl>
    <w:p>
      <w:pPr>
        <w:spacing w:before="120" w:after="120"/>
      </w:pPr>
      <w:r>
        <w:t xml:space="preserve"/>
      </w:r>
    </w:p>
    <w:p>
      <w:pPr>
        <w:pStyle w:val="Heading2"/>
        <w:spacing w:before="240" w:after="80"/>
      </w:pPr>
      <w:r>
        <w:rPr>
          <w:rFonts w:ascii="Arial" w:cs="Arial" w:eastAsia="Arial" w:hAnsi="Arial"/>
          <w:b/>
          <w:bCs/>
          <w:color w:val="1B3A5C"/>
          <w:sz w:val="26"/>
          <w:szCs w:val="26"/>
        </w:rPr>
        <w:t xml:space="preserve">2.3 Distribution Record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Format being distributed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VARCHAR(50)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 identifier: amazon_kdp | ingram | apple | bn | kobo | overdrive |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submission_timestamp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TIMESTAMP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submitted to channel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live_timestamp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TIMESTAMP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channel confirmed live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channel_status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pending | submitted | under_review | live | rejected | unlisted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VARCHAR(500,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Live retail URL on channel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channel_asin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VARCHAR(20,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Amazon ASIN (if applicable)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rejection_reason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 rejection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exclusivity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KDP Select exclusivity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exclusivity_end_date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(nullable)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KDP Select enrollment end date</w:t>
            </w:r>
          </w:p>
        </w:tc>
      </w:tr>
    </w:tbl>
    <w:p>
      <w:r>
        <w:br w:type="page"/>
      </w:r>
    </w:p>
    <w:p>
      <w:pPr>
        <w:pStyle w:val="Heading1"/>
        <w:spacing w:before="360" w:after="120"/>
      </w:pPr>
      <w:r>
        <w:rPr>
          <w:rFonts w:ascii="Arial" w:cs="Arial" w:eastAsia="Arial" w:hAnsi="Arial"/>
          <w:b/>
          <w:bCs/>
          <w:color w:val="1B3A5C"/>
          <w:sz w:val="32"/>
          <w:szCs w:val="32"/>
        </w:rPr>
        <w:t xml:space="preserve">3. Feature Module Functional Design</w:t>
      </w:r>
    </w:p>
    <w:p>
      <w:pPr>
        <w:pStyle w:val="Heading2"/>
        <w:spacing w:before="240" w:after="80"/>
      </w:pPr>
      <w:r>
        <w:rPr>
          <w:rFonts w:ascii="Arial" w:cs="Arial" w:eastAsia="Arial" w:hAnsi="Arial"/>
          <w:b/>
          <w:bCs/>
          <w:color w:val="1B3A5C"/>
          <w:sz w:val="26"/>
          <w:szCs w:val="26"/>
        </w:rPr>
        <w:t xml:space="preserve">3.1 Manuscript Ingestion and File Management</w:t>
      </w:r>
    </w:p>
    <w:p>
      <w:pPr>
        <w:spacing w:before="80" w:after="80"/>
      </w:pPr>
      <w:r>
        <w:rPr>
          <w:rFonts w:ascii="Arial" w:cs="Arial" w:eastAsia="Arial" w:hAnsi="Arial"/>
          <w:color w:val="666666"/>
          <w:sz w:val="16"/>
          <w:szCs w:val="16"/>
        </w:rPr>
        <w:t xml:space="preserve">Implements: </w:t>
      </w:r>
      <w:r>
        <w:rPr>
          <w:rFonts w:ascii="Arial" w:cs="Arial" w:eastAsia="Arial" w:hAnsi="Arial"/>
          <w:b/>
          <w:bCs/>
          <w:color w:val="1B3A5C"/>
          <w:sz w:val="16"/>
          <w:szCs w:val="16"/>
        </w:rPr>
        <w:t xml:space="preserve">GUT-MNG-001 through 008</w:t>
      </w:r>
      <w:r>
        <w:rPr>
          <w:rFonts w:ascii="Arial" w:cs="Arial" w:eastAsia="Arial" w:hAnsi="Arial"/>
          <w:color w:val="666666"/>
          <w:sz w:val="16"/>
          <w:szCs w:val="16"/>
        </w:rPr>
        <w:t xml:space="preserve">  |  RDD Ref: </w:t>
      </w:r>
      <w:r>
        <w:rPr>
          <w:rFonts w:ascii="Arial" w:cs="Arial" w:eastAsia="Arial" w:hAnsi="Arial"/>
          <w:color w:val="C9A84C"/>
          <w:sz w:val="16"/>
          <w:szCs w:val="16"/>
        </w:rPr>
        <w:t xml:space="preserve">RDD §3.1</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3.1.1 Upload Workflow</w:t>
      </w:r>
    </w:p>
    <w:p>
      <w:pPr>
        <w:spacing w:before="80" w:after="80"/>
      </w:pPr>
      <w:r>
        <w:rPr>
          <w:rFonts w:ascii="Arial" w:cs="Arial" w:eastAsia="Arial" w:hAnsi="Arial"/>
          <w:sz w:val="20"/>
          <w:szCs w:val="20"/>
        </w:rPr>
        <w:t xml:space="preserve">The manuscript upload flow is a multi-step wizard presented as a stepper UI component. The following steps are executed on file upload:</w:t>
      </w:r>
    </w:p>
    <w:p>
      <w:pPr>
        <w:pStyle w:val="ListParagraph"/>
        <w:numPr>
          <w:ilvl w:val="0"/>
          <w:numId w:val="2"/>
        </w:numPr>
        <w:spacing w:before="40" w:after="40"/>
      </w:pPr>
      <w:r>
        <w:rPr>
          <w:rFonts w:ascii="Arial" w:cs="Arial" w:eastAsia="Arial" w:hAnsi="Arial"/>
          <w:sz w:val="20"/>
          <w:szCs w:val="20"/>
        </w:rPr>
        <w:t xml:space="preserve">Author selects 'New Title' or 'Import from Refinery' on the Guttenberg dashboard.</w:t>
      </w:r>
    </w:p>
    <w:p>
      <w:pPr>
        <w:pStyle w:val="ListParagraph"/>
        <w:numPr>
          <w:ilvl w:val="0"/>
          <w:numId w:val="2"/>
        </w:numPr>
        <w:spacing w:before="40" w:after="40"/>
      </w:pPr>
      <w:r>
        <w:rPr>
          <w:rFonts w:ascii="Arial" w:cs="Arial" w:eastAsia="Arial" w:hAnsi="Arial"/>
          <w:sz w:val="20"/>
          <w:szCs w:val="20"/>
        </w:rPr>
        <w:t xml:space="preserve">File picker dialog accepts .docx, .doc, .rtf, .odt, .txt, .pdf (max 50MB). Google Drive file picker is also available via OAuth.</w:t>
      </w:r>
    </w:p>
    <w:p>
      <w:pPr>
        <w:pStyle w:val="ListParagraph"/>
        <w:numPr>
          <w:ilvl w:val="0"/>
          <w:numId w:val="2"/>
        </w:numPr>
        <w:spacing w:before="40" w:after="40"/>
      </w:pPr>
      <w:r>
        <w:rPr>
          <w:rFonts w:ascii="Arial" w:cs="Arial" w:eastAsia="Arial" w:hAnsi="Arial"/>
          <w:sz w:val="20"/>
          <w:szCs w:val="20"/>
        </w:rPr>
        <w:t xml:space="preserve">File is uploaded to a pre-signed S3 URL generated by the Manuscript Service. Upload progress is displayed in real-time via WebSocket.</w:t>
      </w:r>
    </w:p>
    <w:p>
      <w:pPr>
        <w:pStyle w:val="ListParagraph"/>
        <w:numPr>
          <w:ilvl w:val="0"/>
          <w:numId w:val="2"/>
        </w:numPr>
        <w:spacing w:before="40" w:after="40"/>
      </w:pPr>
      <w:r>
        <w:rPr>
          <w:rFonts w:ascii="Arial" w:cs="Arial" w:eastAsia="Arial" w:hAnsi="Arial"/>
          <w:sz w:val="20"/>
          <w:szCs w:val="20"/>
        </w:rPr>
        <w:t xml:space="preserve">On upload completion, a ManuscriptUploaded event is published to the event bus. The Pre-flight Validation Job is queued.</w:t>
      </w:r>
    </w:p>
    <w:p>
      <w:pPr>
        <w:pStyle w:val="ListParagraph"/>
        <w:numPr>
          <w:ilvl w:val="0"/>
          <w:numId w:val="2"/>
        </w:numPr>
        <w:spacing w:before="40" w:after="40"/>
      </w:pPr>
      <w:r>
        <w:rPr>
          <w:rFonts w:ascii="Arial" w:cs="Arial" w:eastAsia="Arial" w:hAnsi="Arial"/>
          <w:sz w:val="20"/>
          <w:szCs w:val="20"/>
        </w:rPr>
        <w:t xml:space="preserve">Pre-flight validation runs asynchronously. Results are surfaced as a checklist on the manuscript dashboard within 60 seconds for manuscripts under 150,000 words.</w:t>
      </w:r>
    </w:p>
    <w:p>
      <w:pPr>
        <w:pStyle w:val="ListParagraph"/>
        <w:numPr>
          <w:ilvl w:val="0"/>
          <w:numId w:val="2"/>
        </w:numPr>
        <w:spacing w:before="40" w:after="40"/>
      </w:pPr>
      <w:r>
        <w:rPr>
          <w:rFonts w:ascii="Arial" w:cs="Arial" w:eastAsia="Arial" w:hAnsi="Arial"/>
          <w:sz w:val="20"/>
          <w:szCs w:val="20"/>
        </w:rPr>
        <w:t xml:space="preserve">Author reviews pre-flight report, accepts or dismisses flagged issues, then proceeds to metadata entry.</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3.1.2 Pre-flight Validation Engine</w:t>
      </w:r>
    </w:p>
    <w:p>
      <w:pPr>
        <w:spacing w:before="80" w:after="80"/>
      </w:pPr>
      <w:r>
        <w:rPr>
          <w:rFonts w:ascii="Arial" w:cs="Arial" w:eastAsia="Arial" w:hAnsi="Arial"/>
          <w:sz w:val="20"/>
          <w:szCs w:val="20"/>
        </w:rPr>
        <w:t xml:space="preserve">The Pre-flight Validation Engine processes each uploaded manuscript and checks the following conditions, producing a structured JSON report: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Check Category</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Specific Checks</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Structure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Chapter headings detected; front/back matter identified; chapter count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Word Count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word count; per-chapter word count range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Images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Embedded image count; minimum 300 DPI for any print-bound images; missing alt text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 (print) / Warning (digital)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Non-standard font usage that may not embed correctly in PDF</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Special Characters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Unsupported Unicode characters that may break EPUB rendering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Links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Broken cross-references or hyperlinks in the manuscript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Table of Contents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Presence/absence of a TOC; auto-detected chapter alignment check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 Health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Password-protected files; corrupted segments; macro presence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w:t>
            </w:r>
          </w:p>
        </w:tc>
      </w:tr>
    </w:tbl>
    <w:p>
      <w:pPr>
        <w:spacing w:before="120" w:after="120"/>
      </w:pPr>
      <w:r>
        <w:t xml:space="preserve"/>
      </w:r>
    </w:p>
    <w:p>
      <w:pPr>
        <w:pStyle w:val="Heading3"/>
        <w:spacing w:before="200" w:after="60"/>
      </w:pPr>
      <w:r>
        <w:rPr>
          <w:rFonts w:ascii="Arial" w:cs="Arial" w:eastAsia="Arial" w:hAnsi="Arial"/>
          <w:b/>
          <w:bCs/>
          <w:color w:val="333333"/>
          <w:sz w:val="22"/>
          <w:szCs w:val="22"/>
        </w:rPr>
        <w:t xml:space="preserve">3.1.3 Refinery Import Workflow</w:t>
      </w:r>
    </w:p>
    <w:p>
      <w:pPr>
        <w:spacing w:before="80" w:after="80"/>
      </w:pPr>
      <w:r>
        <w:rPr>
          <w:rFonts w:ascii="Arial" w:cs="Arial" w:eastAsia="Arial" w:hAnsi="Arial"/>
          <w:sz w:val="20"/>
          <w:szCs w:val="20"/>
        </w:rPr>
        <w:t xml:space="preserve">When an author selects 'Import from Refinery,' the following API handoff occurs:</w:t>
      </w:r>
    </w:p>
    <w:p>
      <w:pPr>
        <w:spacing w:before="60" w:after="60"/>
      </w:pPr>
      <w:r>
        <w:rPr>
          <w:rFonts w:ascii="Arial" w:cs="Arial" w:eastAsia="Arial" w:hAnsi="Arial"/>
          <w:b/>
          <w:bCs/>
          <w:color w:val="C9A84C"/>
          <w:sz w:val="20"/>
          <w:szCs w:val="20"/>
        </w:rPr>
        <w:t xml:space="preserve">  1. </w:t>
      </w:r>
      <w:r>
        <w:rPr>
          <w:rFonts w:ascii="Arial" w:cs="Arial" w:eastAsia="Arial" w:hAnsi="Arial"/>
          <w:sz w:val="20"/>
          <w:szCs w:val="20"/>
        </w:rPr>
        <w:t xml:space="preserve">Guttenberg Auth Service verifies the author's MPP identity token.</w:t>
      </w:r>
    </w:p>
    <w:p>
      <w:pPr>
        <w:spacing w:before="60" w:after="60"/>
      </w:pPr>
      <w:r>
        <w:rPr>
          <w:rFonts w:ascii="Arial" w:cs="Arial" w:eastAsia="Arial" w:hAnsi="Arial"/>
          <w:b/>
          <w:bCs/>
          <w:color w:val="C9A84C"/>
          <w:sz w:val="20"/>
          <w:szCs w:val="20"/>
        </w:rPr>
        <w:t xml:space="preserve">  2. </w:t>
      </w:r>
      <w:r>
        <w:rPr>
          <w:rFonts w:ascii="Arial" w:cs="Arial" w:eastAsia="Arial" w:hAnsi="Arial"/>
          <w:sz w:val="20"/>
          <w:szCs w:val="20"/>
        </w:rPr>
        <w:t xml:space="preserve">Guttenberg calls GET /refinery/manuscripts/{manuscript_id}/export with the author's token.</w:t>
      </w:r>
    </w:p>
    <w:p>
      <w:pPr>
        <w:spacing w:before="60" w:after="60"/>
      </w:pPr>
      <w:r>
        <w:rPr>
          <w:rFonts w:ascii="Arial" w:cs="Arial" w:eastAsia="Arial" w:hAnsi="Arial"/>
          <w:b/>
          <w:bCs/>
          <w:color w:val="C9A84C"/>
          <w:sz w:val="20"/>
          <w:szCs w:val="20"/>
        </w:rPr>
        <w:t xml:space="preserve">  3. </w:t>
      </w:r>
      <w:r>
        <w:rPr>
          <w:rFonts w:ascii="Arial" w:cs="Arial" w:eastAsia="Arial" w:hAnsi="Arial"/>
          <w:sz w:val="20"/>
          <w:szCs w:val="20"/>
        </w:rPr>
        <w:t xml:space="preserve">Refinery returns a signed export payload containing: manuscript file URL, evaluation_score, genre_classification, bisac_suggestions, content_advisories, word_count, chapter_outline, and keyword_suggestions.</w:t>
      </w:r>
    </w:p>
    <w:p>
      <w:pPr>
        <w:spacing w:before="60" w:after="60"/>
      </w:pPr>
      <w:r>
        <w:rPr>
          <w:rFonts w:ascii="Arial" w:cs="Arial" w:eastAsia="Arial" w:hAnsi="Arial"/>
          <w:b/>
          <w:bCs/>
          <w:color w:val="C9A84C"/>
          <w:sz w:val="20"/>
          <w:szCs w:val="20"/>
        </w:rPr>
        <w:t xml:space="preserve">  4. </w:t>
      </w:r>
      <w:r>
        <w:rPr>
          <w:rFonts w:ascii="Arial" w:cs="Arial" w:eastAsia="Arial" w:hAnsi="Arial"/>
          <w:sz w:val="20"/>
          <w:szCs w:val="20"/>
        </w:rPr>
        <w:t xml:space="preserve">Guttenberg Manuscript Service downloads the manuscript file from the signed URL and stores it in S3.</w:t>
      </w:r>
    </w:p>
    <w:p>
      <w:pPr>
        <w:spacing w:before="60" w:after="60"/>
      </w:pPr>
      <w:r>
        <w:rPr>
          <w:rFonts w:ascii="Arial" w:cs="Arial" w:eastAsia="Arial" w:hAnsi="Arial"/>
          <w:b/>
          <w:bCs/>
          <w:color w:val="C9A84C"/>
          <w:sz w:val="20"/>
          <w:szCs w:val="20"/>
        </w:rPr>
        <w:t xml:space="preserve">  5. </w:t>
      </w:r>
      <w:r>
        <w:rPr>
          <w:rFonts w:ascii="Arial" w:cs="Arial" w:eastAsia="Arial" w:hAnsi="Arial"/>
          <w:sz w:val="20"/>
          <w:szCs w:val="20"/>
        </w:rPr>
        <w:t xml:space="preserve">Metadata Service auto-populates title metadata from the export payload.</w:t>
      </w:r>
    </w:p>
    <w:p>
      <w:pPr>
        <w:spacing w:before="60" w:after="60"/>
      </w:pPr>
      <w:r>
        <w:rPr>
          <w:rFonts w:ascii="Arial" w:cs="Arial" w:eastAsia="Arial" w:hAnsi="Arial"/>
          <w:b/>
          <w:bCs/>
          <w:color w:val="C9A84C"/>
          <w:sz w:val="20"/>
          <w:szCs w:val="20"/>
        </w:rPr>
        <w:t xml:space="preserve">  6. </w:t>
      </w:r>
      <w:r>
        <w:rPr>
          <w:rFonts w:ascii="Arial" w:cs="Arial" w:eastAsia="Arial" w:hAnsi="Arial"/>
          <w:sz w:val="20"/>
          <w:szCs w:val="20"/>
        </w:rPr>
        <w:t xml:space="preserve">Publishing Readiness Score is set from evaluation_score.</w:t>
      </w:r>
    </w:p>
    <w:p>
      <w:pPr>
        <w:spacing w:before="60" w:after="60"/>
      </w:pPr>
      <w:r>
        <w:rPr>
          <w:rFonts w:ascii="Arial" w:cs="Arial" w:eastAsia="Arial" w:hAnsi="Arial"/>
          <w:b/>
          <w:bCs/>
          <w:color w:val="C9A84C"/>
          <w:sz w:val="20"/>
          <w:szCs w:val="20"/>
        </w:rPr>
        <w:t xml:space="preserve">  7. </w:t>
      </w:r>
      <w:r>
        <w:rPr>
          <w:rFonts w:ascii="Arial" w:cs="Arial" w:eastAsia="Arial" w:hAnsi="Arial"/>
          <w:sz w:val="20"/>
          <w:szCs w:val="20"/>
        </w:rPr>
        <w:t xml:space="preserve">Author is placed at Step 2 of the publish wizard with metadata pre-filled.</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3.1.4 Versioning</w:t>
      </w:r>
    </w:p>
    <w:p>
      <w:pPr>
        <w:spacing w:before="80" w:after="80"/>
      </w:pPr>
      <w:r>
        <w:rPr>
          <w:rFonts w:ascii="Arial" w:cs="Arial" w:eastAsia="Arial" w:hAnsi="Arial"/>
          <w:sz w:val="20"/>
          <w:szCs w:val="20"/>
        </w:rPr>
        <w:t xml:space="preserve">Every file upload creates a new ManuscriptVersion record linked to the Title. The version table stores version_number (auto-incrementing), upload_timestamp, file_id, uploader_user_id, and change_note (optional text from author). The UI displays a version history timeline with diff indicators (word count change, chapter count change). Rollback to any previous version is supported.</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3.1.5 API Endpoints — Manuscript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/api/v1/manuscripts/upload-url</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Request a pre-signed S3 URL for direct upload</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/api/v1/manuscripts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Create manuscript record after upload completes</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/api/v1/manuscripts/import-refinery</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Trigger Refinery import workflow</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/api/v1/manuscripts/{id}</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manuscript details and pre-flight results</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/api/v1/manuscripts/{id}/versions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List all manuscript versions</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/api/v1/manuscripts/{id}/restore/{version_id}</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Restore a previous version</w:t>
            </w:r>
          </w:p>
        </w:tc>
      </w:tr>
      <w:tr>
        <w:tc>
          <w:tcPr>
            <w:tcW w:type="dxa" w:w="9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Courier New" w:cs="Courier New" w:eastAsia="Courier New" w:hAnsi="Courier New"/>
                <w:b/>
                <w:bCs/>
                <w:color w:val="880000"/>
                <w:sz w:val="16"/>
                <w:szCs w:val="16"/>
              </w:rPr>
              <w:t xml:space="preserve">DELETE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/api/v1/manuscripts/{id}</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Soft-delete manuscript (marks as deleted, retains 30 days)</w:t>
            </w:r>
          </w:p>
        </w:tc>
      </w:tr>
    </w:tbl>
    <w:p>
      <w:r>
        <w:br w:type="page"/>
      </w:r>
    </w:p>
    <w:p>
      <w:pPr>
        <w:pStyle w:val="Heading2"/>
        <w:spacing w:before="240" w:after="80"/>
      </w:pPr>
      <w:r>
        <w:rPr>
          <w:rFonts w:ascii="Arial" w:cs="Arial" w:eastAsia="Arial" w:hAnsi="Arial"/>
          <w:b/>
          <w:bCs/>
          <w:color w:val="1B3A5C"/>
          <w:sz w:val="26"/>
          <w:szCs w:val="26"/>
        </w:rPr>
        <w:t xml:space="preserve">3.2 Metadata Management</w:t>
      </w:r>
    </w:p>
    <w:p>
      <w:pPr>
        <w:spacing w:before="80" w:after="80"/>
      </w:pPr>
      <w:r>
        <w:rPr>
          <w:rFonts w:ascii="Arial" w:cs="Arial" w:eastAsia="Arial" w:hAnsi="Arial"/>
          <w:color w:val="666666"/>
          <w:sz w:val="16"/>
          <w:szCs w:val="16"/>
        </w:rPr>
        <w:t xml:space="preserve">Implements: </w:t>
      </w:r>
      <w:r>
        <w:rPr>
          <w:rFonts w:ascii="Arial" w:cs="Arial" w:eastAsia="Arial" w:hAnsi="Arial"/>
          <w:b/>
          <w:bCs/>
          <w:color w:val="1B3A5C"/>
          <w:sz w:val="16"/>
          <w:szCs w:val="16"/>
        </w:rPr>
        <w:t xml:space="preserve">GUT-META-001 through 009</w:t>
      </w:r>
      <w:r>
        <w:rPr>
          <w:rFonts w:ascii="Arial" w:cs="Arial" w:eastAsia="Arial" w:hAnsi="Arial"/>
          <w:color w:val="666666"/>
          <w:sz w:val="16"/>
          <w:szCs w:val="16"/>
        </w:rPr>
        <w:t xml:space="preserve">  |  RDD Ref: </w:t>
      </w:r>
      <w:r>
        <w:rPr>
          <w:rFonts w:ascii="Arial" w:cs="Arial" w:eastAsia="Arial" w:hAnsi="Arial"/>
          <w:color w:val="C9A84C"/>
          <w:sz w:val="16"/>
          <w:szCs w:val="16"/>
        </w:rPr>
        <w:t xml:space="preserve">RDD §3.2</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3.2.1 Metadata Editor UI</w:t>
      </w:r>
    </w:p>
    <w:p>
      <w:pPr>
        <w:spacing w:before="80" w:after="80"/>
      </w:pPr>
      <w:r>
        <w:rPr>
          <w:rFonts w:ascii="Arial" w:cs="Arial" w:eastAsia="Arial" w:hAnsi="Arial"/>
          <w:sz w:val="20"/>
          <w:szCs w:val="20"/>
        </w:rPr>
        <w:t xml:space="preserve">The metadata editor is a tabbed form with the following tabs: Basic Info, Contributors, Classification, Description, and Advanced. Each tab renders inline validation with per-field status indicators. A Channel Readiness sidebar updates in real-time as fields are completed, showing a per-channel checklist for Amazon KDP, IngramSpark, Apple Books, and Kobo.</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3.2.2 Channel Readiness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Amazon KDP</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IngramSpark</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Apple Books</w:t>
            </w:r>
          </w:p>
        </w:tc>
        <w:tc>
          <w:tcPr>
            <w:tcW w:type="dxa" w:w="1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Kobo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Title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Description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 (min 50 chars)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 (min 100 chars)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BISAC Code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 (min 1)</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 (min 2)</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 (min 1)</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 (min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ISBN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Optional (KDP assigns)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Language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Publication Date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 (30 days ahead)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Cover</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 (1600px min width)</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 (300 DPI, min 2400px)</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Keywords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Recommended (7)</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Optional</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Recommended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Optional</w:t>
            </w:r>
          </w:p>
        </w:tc>
      </w:tr>
    </w:tbl>
    <w:p>
      <w:pPr>
        <w:spacing w:before="120" w:after="120"/>
      </w:pPr>
      <w:r>
        <w:t xml:space="preserve"/>
      </w:r>
    </w:p>
    <w:p>
      <w:pPr>
        <w:pStyle w:val="Heading3"/>
        <w:spacing w:before="200" w:after="60"/>
      </w:pPr>
      <w:r>
        <w:rPr>
          <w:rFonts w:ascii="Arial" w:cs="Arial" w:eastAsia="Arial" w:hAnsi="Arial"/>
          <w:b/>
          <w:bCs/>
          <w:color w:val="333333"/>
          <w:sz w:val="22"/>
          <w:szCs w:val="22"/>
        </w:rPr>
        <w:t xml:space="preserve">3.2.3 AI Synopsis Generator</w:t>
      </w:r>
    </w:p>
    <w:p>
      <w:pPr>
        <w:spacing w:before="80" w:after="80"/>
      </w:pPr>
      <w:r>
        <w:rPr>
          <w:rFonts w:ascii="Arial" w:cs="Arial" w:eastAsia="Arial" w:hAnsi="Arial"/>
          <w:sz w:val="20"/>
          <w:szCs w:val="20"/>
        </w:rPr>
        <w:t xml:space="preserve">When an author invokes 'Generate Synopsis,' the Metadata Service calls the MPP AI layer with the following prompt context: manuscript chapter outline, genre classification, tone indicators from Refinery evaluation, comparable title data, and target description length (short/long). The AI generates two variants: a retail-focused description (emotional, reader-benefit-oriented) and a press-release-style description (more formal). The author selects or edits either variant. All AI-generated content is flagged with a 'AI-assisted' indicator in the UI.</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3.2.4 ONIX 3.0 Export</w:t>
      </w:r>
    </w:p>
    <w:p>
      <w:pPr>
        <w:spacing w:before="80" w:after="80"/>
      </w:pPr>
      <w:r>
        <w:rPr>
          <w:rFonts w:ascii="Arial" w:cs="Arial" w:eastAsia="Arial" w:hAnsi="Arial"/>
          <w:sz w:val="20"/>
          <w:szCs w:val="20"/>
        </w:rPr>
        <w:t xml:space="preserve">The Metadata Service generates ONIX 3.0 XML on demand or triggered by a distribution submission. ONIX output maps Guttenberg metadata fields to ONIX composites including: BookComposite, TitleDetail, Contributor, Language, Subject (BISAC), AudienceRange, PublishingDetail, ProductSupply, and RelatedMaterial. ONIX files are validated against the official ONIX 3.0 schema before delivery.</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3.2.5 API Endpoints — Metadata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/api/v1/titles/{id}/metadata</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complete metadata for a title</w:t>
            </w:r>
          </w:p>
        </w:tc>
      </w:tr>
      <w:tr>
        <w:tc>
          <w:tcPr>
            <w:tcW w:type="dxa" w:w="9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Courier New" w:cs="Courier New" w:eastAsia="Courier New" w:hAnsi="Courier New"/>
                <w:b/>
                <w:bCs/>
                <w:color w:val="664400"/>
                <w:sz w:val="16"/>
                <w:szCs w:val="16"/>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/api/v1/titles/{id}/metadata</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Update title metadata</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/api/v1/titles/{id}/channel-readiness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per-channel readiness scores</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/api/v1/titles/{id}/metadata/synopsis-ai</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Trigger AI synopsis generation</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/api/v1/titles/{id}/export/onix</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Export ONIX 3.0 XML</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/api/v1/bisac/search</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Search BISAC codes by keyword</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/api/v1/keywords/suggest</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keyword suggestions for a genre/BISAC</w:t>
            </w:r>
          </w:p>
        </w:tc>
      </w:tr>
    </w:tbl>
    <w:p>
      <w:r>
        <w:br w:type="page"/>
      </w:r>
    </w:p>
    <w:p>
      <w:pPr>
        <w:pStyle w:val="Heading2"/>
        <w:spacing w:before="240" w:after="80"/>
      </w:pPr>
      <w:r>
        <w:rPr>
          <w:rFonts w:ascii="Arial" w:cs="Arial" w:eastAsia="Arial" w:hAnsi="Arial"/>
          <w:b/>
          <w:bCs/>
          <w:color w:val="1B3A5C"/>
          <w:sz w:val="26"/>
          <w:szCs w:val="26"/>
        </w:rPr>
        <w:t xml:space="preserve">3.3 ISBN and Identifier Services</w:t>
      </w:r>
    </w:p>
    <w:p>
      <w:pPr>
        <w:spacing w:before="80" w:after="80"/>
      </w:pPr>
      <w:r>
        <w:rPr>
          <w:rFonts w:ascii="Arial" w:cs="Arial" w:eastAsia="Arial" w:hAnsi="Arial"/>
          <w:color w:val="666666"/>
          <w:sz w:val="16"/>
          <w:szCs w:val="16"/>
        </w:rPr>
        <w:t xml:space="preserve">Implements: </w:t>
      </w:r>
      <w:r>
        <w:rPr>
          <w:rFonts w:ascii="Arial" w:cs="Arial" w:eastAsia="Arial" w:hAnsi="Arial"/>
          <w:b/>
          <w:bCs/>
          <w:color w:val="1B3A5C"/>
          <w:sz w:val="16"/>
          <w:szCs w:val="16"/>
        </w:rPr>
        <w:t xml:space="preserve">GUT-ISBN-001 through 007</w:t>
      </w:r>
      <w:r>
        <w:rPr>
          <w:rFonts w:ascii="Arial" w:cs="Arial" w:eastAsia="Arial" w:hAnsi="Arial"/>
          <w:color w:val="666666"/>
          <w:sz w:val="16"/>
          <w:szCs w:val="16"/>
        </w:rPr>
        <w:t xml:space="preserve">  |  RDD Ref: </w:t>
      </w:r>
      <w:r>
        <w:rPr>
          <w:rFonts w:ascii="Arial" w:cs="Arial" w:eastAsia="Arial" w:hAnsi="Arial"/>
          <w:color w:val="C9A84C"/>
          <w:sz w:val="16"/>
          <w:szCs w:val="16"/>
        </w:rPr>
        <w:t xml:space="preserve">RDD §3.3</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3.3.1 ISBN Purchase Workflow</w:t>
      </w:r>
    </w:p>
    <w:p>
      <w:pPr>
        <w:spacing w:before="80" w:after="80"/>
      </w:pPr>
      <w:r>
        <w:rPr>
          <w:rFonts w:ascii="Arial" w:cs="Arial" w:eastAsia="Arial" w:hAnsi="Arial"/>
          <w:sz w:val="20"/>
          <w:szCs w:val="20"/>
        </w:rPr>
        <w:t xml:space="preserve">Guttenberg maintains a pre-purchased ISBN block from Bowker under The Auditor's Forge account. When an author purchases an ISBN, the following occurs:</w:t>
      </w:r>
    </w:p>
    <w:p>
      <w:pPr>
        <w:pStyle w:val="ListParagraph"/>
        <w:numPr>
          <w:ilvl w:val="0"/>
          <w:numId w:val="2"/>
        </w:numPr>
        <w:spacing w:before="40" w:after="40"/>
      </w:pPr>
      <w:r>
        <w:rPr>
          <w:rFonts w:ascii="Arial" w:cs="Arial" w:eastAsia="Arial" w:hAnsi="Arial"/>
          <w:sz w:val="20"/>
          <w:szCs w:val="20"/>
        </w:rPr>
        <w:t xml:space="preserve">Author selects 'Purchase ISBN' for a specific Format. Pricing is displayed ($15 single, $75 for 10-pack, $250 for 100-pack).</w:t>
      </w:r>
    </w:p>
    <w:p>
      <w:pPr>
        <w:pStyle w:val="ListParagraph"/>
        <w:numPr>
          <w:ilvl w:val="0"/>
          <w:numId w:val="2"/>
        </w:numPr>
        <w:spacing w:before="40" w:after="40"/>
      </w:pPr>
      <w:r>
        <w:rPr>
          <w:rFonts w:ascii="Arial" w:cs="Arial" w:eastAsia="Arial" w:hAnsi="Arial"/>
          <w:sz w:val="20"/>
          <w:szCs w:val="20"/>
        </w:rPr>
        <w:t xml:space="preserve">Payment is processed via Stripe. On success, an ISBN is reserved from the platform's Bowker block.</w:t>
      </w:r>
    </w:p>
    <w:p>
      <w:pPr>
        <w:pStyle w:val="ListParagraph"/>
        <w:numPr>
          <w:ilvl w:val="0"/>
          <w:numId w:val="2"/>
        </w:numPr>
        <w:spacing w:before="40" w:after="40"/>
      </w:pPr>
      <w:r>
        <w:rPr>
          <w:rFonts w:ascii="Arial" w:cs="Arial" w:eastAsia="Arial" w:hAnsi="Arial"/>
          <w:sz w:val="20"/>
          <w:szCs w:val="20"/>
        </w:rPr>
        <w:t xml:space="preserve">The ISBN is assigned to the Format record in the database.</w:t>
      </w:r>
    </w:p>
    <w:p>
      <w:pPr>
        <w:pStyle w:val="ListParagraph"/>
        <w:numPr>
          <w:ilvl w:val="0"/>
          <w:numId w:val="2"/>
        </w:numPr>
        <w:spacing w:before="40" w:after="40"/>
      </w:pPr>
      <w:r>
        <w:rPr>
          <w:rFonts w:ascii="Arial" w:cs="Arial" w:eastAsia="Arial" w:hAnsi="Arial"/>
          <w:sz w:val="20"/>
          <w:szCs w:val="20"/>
        </w:rPr>
        <w:t xml:space="preserve">A Bowker registration record is created asynchronously (author name, title, publisher, format).</w:t>
      </w:r>
    </w:p>
    <w:p>
      <w:pPr>
        <w:pStyle w:val="ListParagraph"/>
        <w:numPr>
          <w:ilvl w:val="0"/>
          <w:numId w:val="2"/>
        </w:numPr>
        <w:spacing w:before="40" w:after="40"/>
      </w:pPr>
      <w:r>
        <w:rPr>
          <w:rFonts w:ascii="Arial" w:cs="Arial" w:eastAsia="Arial" w:hAnsi="Arial"/>
          <w:sz w:val="20"/>
          <w:szCs w:val="20"/>
        </w:rPr>
        <w:t xml:space="preserve">The assigned ISBN-13 is displayed on the Format dashboard with a barcode preview.</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3.3.2 Author-Supplied ISBN Validation</w:t>
      </w:r>
    </w:p>
    <w:p>
      <w:pPr>
        <w:spacing w:before="80" w:after="80"/>
      </w:pPr>
      <w:r>
        <w:rPr>
          <w:rFonts w:ascii="Arial" w:cs="Arial" w:eastAsia="Arial" w:hAnsi="Arial"/>
          <w:sz w:val="20"/>
          <w:szCs w:val="20"/>
        </w:rPr>
        <w:t xml:space="preserve">When an author enters their own ISBN, the ISBN Service validates: correct check digit (ISO 2108 algorithm), format (ISBN-13 with or without hyphens), and that the ISBN has not been previously registered within the Guttenberg system. The service does not check external Bowker records in real-time but warns the author to verify the ISBN is unregistered.</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3.3.3 Per-Format Auto-Assignment</w:t>
      </w:r>
    </w:p>
    <w:p>
      <w:pPr>
        <w:spacing w:before="80" w:after="80"/>
      </w:pPr>
      <w:r>
        <w:rPr>
          <w:rFonts w:ascii="Arial" w:cs="Arial" w:eastAsia="Arial" w:hAnsi="Arial"/>
          <w:sz w:val="20"/>
          <w:szCs w:val="20"/>
        </w:rPr>
        <w:t xml:space="preserve">When a Title transitions from single-format to multi-format, the ISBN Service automatically prompts the author to assign or purchase ISBNs for each new format. The ISBN assignment matrix is enforced: paperback, hardcover, and e-book editions are treated as separate works requiring individual ISBNs. Large print editions also require unique ISBNs.</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3.3.4 API Endpoints — ISBN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/api/v1/isbns/purchase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Purchase ISBN(s) — triggers Stripe payment</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/api/v1/isbns/assign</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Assign author-supplied ISBN to a format</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/api/v1/formats/{id}/isbn</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ISBN details for a format</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/api/v1/isbns/validate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Validate an ISBN check digit and uniqueness</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/api/v1/dois/register</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Register DOI via CrossRef (academic tier)</w:t>
            </w:r>
          </w:p>
        </w:tc>
      </w:tr>
    </w:tbl>
    <w:p>
      <w:r>
        <w:br w:type="page"/>
      </w:r>
    </w:p>
    <w:p>
      <w:pPr>
        <w:pStyle w:val="Heading2"/>
        <w:spacing w:before="240" w:after="80"/>
      </w:pPr>
      <w:r>
        <w:rPr>
          <w:rFonts w:ascii="Arial" w:cs="Arial" w:eastAsia="Arial" w:hAnsi="Arial"/>
          <w:b/>
          <w:bCs/>
          <w:color w:val="1B3A5C"/>
          <w:sz w:val="26"/>
          <w:szCs w:val="26"/>
        </w:rPr>
        <w:t xml:space="preserve">3.4 Interior Formatting and Book Production</w:t>
      </w:r>
    </w:p>
    <w:p>
      <w:pPr>
        <w:spacing w:before="80" w:after="80"/>
      </w:pPr>
      <w:r>
        <w:rPr>
          <w:rFonts w:ascii="Arial" w:cs="Arial" w:eastAsia="Arial" w:hAnsi="Arial"/>
          <w:color w:val="666666"/>
          <w:sz w:val="16"/>
          <w:szCs w:val="16"/>
        </w:rPr>
        <w:t xml:space="preserve">Implements: </w:t>
      </w:r>
      <w:r>
        <w:rPr>
          <w:rFonts w:ascii="Arial" w:cs="Arial" w:eastAsia="Arial" w:hAnsi="Arial"/>
          <w:b/>
          <w:bCs/>
          <w:color w:val="1B3A5C"/>
          <w:sz w:val="16"/>
          <w:szCs w:val="16"/>
        </w:rPr>
        <w:t xml:space="preserve">GUT-FMT-001 through 012</w:t>
      </w:r>
      <w:r>
        <w:rPr>
          <w:rFonts w:ascii="Arial" w:cs="Arial" w:eastAsia="Arial" w:hAnsi="Arial"/>
          <w:color w:val="666666"/>
          <w:sz w:val="16"/>
          <w:szCs w:val="16"/>
        </w:rPr>
        <w:t xml:space="preserve">  |  RDD Ref: </w:t>
      </w:r>
      <w:r>
        <w:rPr>
          <w:rFonts w:ascii="Arial" w:cs="Arial" w:eastAsia="Arial" w:hAnsi="Arial"/>
          <w:color w:val="C9A84C"/>
          <w:sz w:val="16"/>
          <w:szCs w:val="16"/>
        </w:rPr>
        <w:t xml:space="preserve">RDD §3.4</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3.4.1 Format Engine Architecture</w:t>
      </w:r>
    </w:p>
    <w:p>
      <w:pPr>
        <w:spacing w:before="80" w:after="80"/>
      </w:pPr>
      <w:r>
        <w:rPr>
          <w:rFonts w:ascii="Arial" w:cs="Arial" w:eastAsia="Arial" w:hAnsi="Arial"/>
          <w:sz w:val="20"/>
          <w:szCs w:val="20"/>
        </w:rPr>
        <w:t xml:space="preserve">The Format Engine is an asynchronous job-based service. Format jobs are queued via Redis/Bull and processed by dedicated worker containers. The engine uses Pandoc for document conversion, WeasyPrint/Paged.js for PDF rendering, and Calibre for EPUB/MOBI output — all orchestrated by a Node.js job runner.</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3.4.2 Format Job Workflow</w:t>
      </w:r>
    </w:p>
    <w:p>
      <w:pPr>
        <w:spacing w:before="60" w:after="60"/>
      </w:pPr>
      <w:r>
        <w:rPr>
          <w:rFonts w:ascii="Arial" w:cs="Arial" w:eastAsia="Arial" w:hAnsi="Arial"/>
          <w:b/>
          <w:bCs/>
          <w:color w:val="C9A84C"/>
          <w:sz w:val="20"/>
          <w:szCs w:val="20"/>
        </w:rPr>
        <w:t xml:space="preserve">  1. </w:t>
      </w:r>
      <w:r>
        <w:rPr>
          <w:rFonts w:ascii="Arial" w:cs="Arial" w:eastAsia="Arial" w:hAnsi="Arial"/>
          <w:sz w:val="20"/>
          <w:szCs w:val="20"/>
        </w:rPr>
        <w:t xml:space="preserve">Author selects 'Format Book' from the Title dashboard. Format type (print / ebook), trim size, and template are selected.</w:t>
      </w:r>
    </w:p>
    <w:p>
      <w:pPr>
        <w:spacing w:before="60" w:after="60"/>
      </w:pPr>
      <w:r>
        <w:rPr>
          <w:rFonts w:ascii="Arial" w:cs="Arial" w:eastAsia="Arial" w:hAnsi="Arial"/>
          <w:b/>
          <w:bCs/>
          <w:color w:val="C9A84C"/>
          <w:sz w:val="20"/>
          <w:szCs w:val="20"/>
        </w:rPr>
        <w:t xml:space="preserve">  2. </w:t>
      </w:r>
      <w:r>
        <w:rPr>
          <w:rFonts w:ascii="Arial" w:cs="Arial" w:eastAsia="Arial" w:hAnsi="Arial"/>
          <w:sz w:val="20"/>
          <w:szCs w:val="20"/>
        </w:rPr>
        <w:t xml:space="preserve">A FormatJob is created with status: queued. Job ID is returned to the client. The UI polls job status via WebSocket.</w:t>
      </w:r>
    </w:p>
    <w:p>
      <w:pPr>
        <w:spacing w:before="60" w:after="60"/>
      </w:pPr>
      <w:r>
        <w:rPr>
          <w:rFonts w:ascii="Arial" w:cs="Arial" w:eastAsia="Arial" w:hAnsi="Arial"/>
          <w:b/>
          <w:bCs/>
          <w:color w:val="C9A84C"/>
          <w:sz w:val="20"/>
          <w:szCs w:val="20"/>
        </w:rPr>
        <w:t xml:space="preserve">  3. </w:t>
      </w:r>
      <w:r>
        <w:rPr>
          <w:rFonts w:ascii="Arial" w:cs="Arial" w:eastAsia="Arial" w:hAnsi="Arial"/>
          <w:sz w:val="20"/>
          <w:szCs w:val="20"/>
        </w:rPr>
        <w:t xml:space="preserve">Worker picks up the job. Manuscript is retrieved from S3. Pandoc converts source format to a normalized HTML intermediate representation.</w:t>
      </w:r>
    </w:p>
    <w:p>
      <w:pPr>
        <w:spacing w:before="60" w:after="60"/>
      </w:pPr>
      <w:r>
        <w:rPr>
          <w:rFonts w:ascii="Arial" w:cs="Arial" w:eastAsia="Arial" w:hAnsi="Arial"/>
          <w:b/>
          <w:bCs/>
          <w:color w:val="C9A84C"/>
          <w:sz w:val="20"/>
          <w:szCs w:val="20"/>
        </w:rPr>
        <w:t xml:space="preserve">  4. </w:t>
      </w:r>
      <w:r>
        <w:rPr>
          <w:rFonts w:ascii="Arial" w:cs="Arial" w:eastAsia="Arial" w:hAnsi="Arial"/>
          <w:sz w:val="20"/>
          <w:szCs w:val="20"/>
        </w:rPr>
        <w:t xml:space="preserve">The selected interior template (CSS + layout rules) is applied to the HTML intermediate.</w:t>
      </w:r>
    </w:p>
    <w:p>
      <w:pPr>
        <w:spacing w:before="60" w:after="60"/>
      </w:pPr>
      <w:r>
        <w:rPr>
          <w:rFonts w:ascii="Arial" w:cs="Arial" w:eastAsia="Arial" w:hAnsi="Arial"/>
          <w:b/>
          <w:bCs/>
          <w:color w:val="C9A84C"/>
          <w:sz w:val="20"/>
          <w:szCs w:val="20"/>
        </w:rPr>
        <w:t xml:space="preserve">  5. </w:t>
      </w:r>
      <w:r>
        <w:rPr>
          <w:rFonts w:ascii="Arial" w:cs="Arial" w:eastAsia="Arial" w:hAnsi="Arial"/>
          <w:sz w:val="20"/>
          <w:szCs w:val="20"/>
        </w:rPr>
        <w:t xml:space="preserve">For print: WeasyPrint renders the formatted HTML to a print-ready PDF with exact trim size, bleeds, and margins. For e-book: Calibre converts the formatted HTML to EPUB 3.0. MOBI/KFX is generated from EPUB.</w:t>
      </w:r>
    </w:p>
    <w:p>
      <w:pPr>
        <w:spacing w:before="60" w:after="60"/>
      </w:pPr>
      <w:r>
        <w:rPr>
          <w:rFonts w:ascii="Arial" w:cs="Arial" w:eastAsia="Arial" w:hAnsi="Arial"/>
          <w:b/>
          <w:bCs/>
          <w:color w:val="C9A84C"/>
          <w:sz w:val="20"/>
          <w:szCs w:val="20"/>
        </w:rPr>
        <w:t xml:space="preserve">  6. </w:t>
      </w:r>
      <w:r>
        <w:rPr>
          <w:rFonts w:ascii="Arial" w:cs="Arial" w:eastAsia="Arial" w:hAnsi="Arial"/>
          <w:sz w:val="20"/>
          <w:szCs w:val="20"/>
        </w:rPr>
        <w:t xml:space="preserve">Output files are validated: PDF with Ghostscript preflight; EPUB with EPUBCheck 5.0. Errors are surfaced to the author.</w:t>
      </w:r>
    </w:p>
    <w:p>
      <w:pPr>
        <w:spacing w:before="60" w:after="60"/>
      </w:pPr>
      <w:r>
        <w:rPr>
          <w:rFonts w:ascii="Arial" w:cs="Arial" w:eastAsia="Arial" w:hAnsi="Arial"/>
          <w:b/>
          <w:bCs/>
          <w:color w:val="C9A84C"/>
          <w:sz w:val="20"/>
          <w:szCs w:val="20"/>
        </w:rPr>
        <w:t xml:space="preserve">  7. </w:t>
      </w:r>
      <w:r>
        <w:rPr>
          <w:rFonts w:ascii="Arial" w:cs="Arial" w:eastAsia="Arial" w:hAnsi="Arial"/>
          <w:sz w:val="20"/>
          <w:szCs w:val="20"/>
        </w:rPr>
        <w:t xml:space="preserve">Job status updates to completed. Output files are stored in S3. A preview is generated. FormatJobCompleted event is published.</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3.4.3 Interior Template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Template Name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Genre Target</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Design Characteristics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Meridian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Literary Fiction / General Fiction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Clean serif body, decorative chapter opener, single-column layout, 6x9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Velocity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Thriller / Mystery / Action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Bold chapter numbers, wide margins, scene break ornaments, 5.5x8.5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Ember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Romance / Women's Fiction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Script-accented chapter titles, generous leading, ornamental dividers, 5.5x8.5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Codex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Non-fiction / Business / Self-Help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Sans-serif headers, callout boxes, pull quotes, part/chapter hierarchy, 6x9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Pinnacle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 Scholarly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Chicago footnote support, wide margins for annotations, numbered chapters, 6x9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Horizon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Children's / Middle Grade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Large body font, illustrated chapter headers, dyslexia-friendly spacing, 5x8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Spectrum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Young Adult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Contemporary sans-serif, alternating chapter decorations, 5.5x8.5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Atlas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Technical / Manual / Cookbook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Two-column option, table support, numbered steps, 8.5x11</w:t>
            </w:r>
          </w:p>
        </w:tc>
      </w:tr>
    </w:tbl>
    <w:p>
      <w:pPr>
        <w:spacing w:before="120" w:after="120"/>
      </w:pPr>
      <w:r>
        <w:t xml:space="preserve"/>
      </w:r>
    </w:p>
    <w:p>
      <w:pPr>
        <w:pStyle w:val="Heading3"/>
        <w:spacing w:before="200" w:after="60"/>
      </w:pPr>
      <w:r>
        <w:rPr>
          <w:rFonts w:ascii="Arial" w:cs="Arial" w:eastAsia="Arial" w:hAnsi="Arial"/>
          <w:b/>
          <w:bCs/>
          <w:color w:val="333333"/>
          <w:sz w:val="22"/>
          <w:szCs w:val="22"/>
        </w:rPr>
        <w:t xml:space="preserve">3.4.4 Template Customization Parameters</w:t>
      </w:r>
    </w:p>
    <w:p>
      <w:pPr>
        <w:spacing w:before="80" w:after="80"/>
      </w:pPr>
      <w:r>
        <w:rPr>
          <w:rFonts w:ascii="Arial" w:cs="Arial" w:eastAsia="Arial" w:hAnsi="Arial"/>
          <w:sz w:val="20"/>
          <w:szCs w:val="20"/>
        </w:rPr>
        <w:t xml:space="preserve">All templates expose the following customization parameters via the UI: body font (selection from 12 licensed fonts), body font size (10–13pt), line spacing (1.1–1.6), chapter heading style (font, size, alignment), drop cap on/off, scene break character (ornament, ***,  or custom), header/footer content (page number style, running title on/off), and margin size (narrow / standard / wide).</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3.4.5 WYSIWYG Preview</w:t>
      </w:r>
    </w:p>
    <w:p>
      <w:pPr>
        <w:spacing w:before="80" w:after="80"/>
      </w:pPr>
      <w:r>
        <w:rPr>
          <w:rFonts w:ascii="Arial" w:cs="Arial" w:eastAsia="Arial" w:hAnsi="Arial"/>
          <w:sz w:val="20"/>
          <w:szCs w:val="20"/>
        </w:rPr>
        <w:t xml:space="preserve">The preview is rendered as a paginated React component using the same CSS template applied during production. Page-accurate rendering is achieved via the Paged.js JavaScript library running in the browser. The preview supports zoom (50%–150%), full-screen mode, and page jump navigation. Changes to template parameters are reflected in the preview within 3 seconds using debounced re-render.</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3.4.6 API Endpoints — Format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/api/v1/formats/{id}/format-job</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Queue a format job</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/api/v1/format-jobs/{job_id}</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job status and progress</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/api/v1/formats/{id}/files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List output files for a format</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/api/v1/templates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List available interior templates</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/api/v1/templates/{id}</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template details and customization options</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/api/v1/formats/{id}/preview</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Generate a preview page range</w:t>
            </w:r>
          </w:p>
        </w:tc>
      </w:tr>
    </w:tbl>
    <w:p>
      <w:r>
        <w:br w:type="page"/>
      </w:r>
    </w:p>
    <w:p>
      <w:pPr>
        <w:pStyle w:val="Heading2"/>
        <w:spacing w:before="240" w:after="80"/>
      </w:pPr>
      <w:r>
        <w:rPr>
          <w:rFonts w:ascii="Arial" w:cs="Arial" w:eastAsia="Arial" w:hAnsi="Arial"/>
          <w:b/>
          <w:bCs/>
          <w:color w:val="1B3A5C"/>
          <w:sz w:val="26"/>
          <w:szCs w:val="26"/>
        </w:rPr>
        <w:t xml:space="preserve">3.5 Cover Design and Management</w:t>
      </w:r>
    </w:p>
    <w:p>
      <w:pPr>
        <w:spacing w:before="80" w:after="80"/>
      </w:pPr>
      <w:r>
        <w:rPr>
          <w:rFonts w:ascii="Arial" w:cs="Arial" w:eastAsia="Arial" w:hAnsi="Arial"/>
          <w:color w:val="666666"/>
          <w:sz w:val="16"/>
          <w:szCs w:val="16"/>
        </w:rPr>
        <w:t xml:space="preserve">Implements: </w:t>
      </w:r>
      <w:r>
        <w:rPr>
          <w:rFonts w:ascii="Arial" w:cs="Arial" w:eastAsia="Arial" w:hAnsi="Arial"/>
          <w:b/>
          <w:bCs/>
          <w:color w:val="1B3A5C"/>
          <w:sz w:val="16"/>
          <w:szCs w:val="16"/>
        </w:rPr>
        <w:t xml:space="preserve">GUT-CVR-001 through 006</w:t>
      </w:r>
      <w:r>
        <w:rPr>
          <w:rFonts w:ascii="Arial" w:cs="Arial" w:eastAsia="Arial" w:hAnsi="Arial"/>
          <w:color w:val="666666"/>
          <w:sz w:val="16"/>
          <w:szCs w:val="16"/>
        </w:rPr>
        <w:t xml:space="preserve">  |  RDD Ref: </w:t>
      </w:r>
      <w:r>
        <w:rPr>
          <w:rFonts w:ascii="Arial" w:cs="Arial" w:eastAsia="Arial" w:hAnsi="Arial"/>
          <w:color w:val="C9A84C"/>
          <w:sz w:val="16"/>
          <w:szCs w:val="16"/>
        </w:rPr>
        <w:t xml:space="preserve">RDD §3.5</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3.5.1 Cover Upload and Validation</w:t>
      </w:r>
    </w:p>
    <w:p>
      <w:pPr>
        <w:spacing w:before="80" w:after="80"/>
      </w:pPr>
      <w:r>
        <w:rPr>
          <w:rFonts w:ascii="Arial" w:cs="Arial" w:eastAsia="Arial" w:hAnsi="Arial"/>
          <w:sz w:val="20"/>
          <w:szCs w:val="20"/>
        </w:rPr>
        <w:t xml:space="preserve">Cover uploads are routed through the Cover Service. The following validation pipeline runs on all cover 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Check</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Print Requirement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Digital Requirement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Action on Fail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 Format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PDF or PNG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JPG, PNG, or TIFF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Rejection — re-upload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Resolution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Minimum 300 DPI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Minimum 72 DPI (300 recommended)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 for print; warning for digital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Color 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CMYK preferred; RGB accepted (auto-converted)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RGB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Auto-conversion with notification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Dimensions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Must match selected trim size + 0.125" bleed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Front only; min 1600px wide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 — provide dimension spec sheet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Barcode Area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Must have white barcode zone (lower right)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applicable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Warning — AI barcode injection offered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 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Maximum 150MB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Maximum 20MB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Rejection — compress and re-upload</w:t>
            </w:r>
          </w:p>
        </w:tc>
      </w:tr>
    </w:tbl>
    <w:p>
      <w:pPr>
        <w:spacing w:before="120" w:after="120"/>
      </w:pPr>
      <w:r>
        <w:t xml:space="preserve"/>
      </w:r>
    </w:p>
    <w:p>
      <w:pPr>
        <w:pStyle w:val="Heading3"/>
        <w:spacing w:before="200" w:after="60"/>
      </w:pPr>
      <w:r>
        <w:rPr>
          <w:rFonts w:ascii="Arial" w:cs="Arial" w:eastAsia="Arial" w:hAnsi="Arial"/>
          <w:b/>
          <w:bCs/>
          <w:color w:val="333333"/>
          <w:sz w:val="22"/>
          <w:szCs w:val="22"/>
        </w:rPr>
        <w:t xml:space="preserve">3.5.2 Barcode Auto-Injection</w:t>
      </w:r>
    </w:p>
    <w:p>
      <w:pPr>
        <w:spacing w:before="80" w:after="80"/>
      </w:pPr>
      <w:r>
        <w:rPr>
          <w:rFonts w:ascii="Arial" w:cs="Arial" w:eastAsia="Arial" w:hAnsi="Arial"/>
          <w:sz w:val="20"/>
          <w:szCs w:val="20"/>
        </w:rPr>
        <w:t xml:space="preserve">When a print cover is uploaded without a barcode zone, Guttenberg offers automated barcode injection. The Cover Service calls a barcode generation library to render a Code 128 / ISBN barcode at the correct size (1.5" x 1.2") and injects it into the lower-right quadrant of the cover PDF. The injected barcode includes the ISBN-13 number and the list price in USD. A preview of the injection is shown to the author for approval before the modified cover is saved.</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3.5.3 Multi-Format Cover Generation</w:t>
      </w:r>
    </w:p>
    <w:p>
      <w:pPr>
        <w:spacing w:before="80" w:after="80"/>
      </w:pPr>
      <w:r>
        <w:rPr>
          <w:rFonts w:ascii="Arial" w:cs="Arial" w:eastAsia="Arial" w:hAnsi="Arial"/>
          <w:sz w:val="20"/>
          <w:szCs w:val="20"/>
        </w:rPr>
        <w:t xml:space="preserve">For authors who design their cover in the Guttenberg Cover Designer, the system auto-generates all required format variants: a full-wrap print cover (front + spine + back) sized for the calculated spine width based on page count and paper type, a front-only e-book cover in JPEG format (2560x1600px high-resolution), and a thumbnail cover for Scrybe and landing pages (512x800px JPEG).</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3.5.4 Integrated Cover Designer</w:t>
      </w:r>
    </w:p>
    <w:p>
      <w:pPr>
        <w:spacing w:before="80" w:after="80"/>
      </w:pPr>
      <w:r>
        <w:rPr>
          <w:rFonts w:ascii="Arial" w:cs="Arial" w:eastAsia="Arial" w:hAnsi="Arial"/>
          <w:sz w:val="20"/>
          <w:szCs w:val="20"/>
        </w:rPr>
        <w:t xml:space="preserve">The Cover Designer is a browser-based design tool (React + Fabric.js canvas) providing: a library of 200+ genre-specific cover templates, licensed stock photo search via Unsplash API and Shutterstock integration, layer-based design with text, image, shape, and overlay layers, 50+ licensed fonts, color picker with CMYK preview, real-time spine width calculator, and export to all required format variants.</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3.5.5 API Endpoints — Cover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/api/v1/covers/upload-url</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pre-signed URL for cover upload</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/api/v1/covers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Create cover record after upload</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/api/v1/covers/{id}/validate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Run validation pipeline on uploaded cover</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/api/v1/covers/{id}/inject-barcode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Inject barcode into print cover</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/api/v1/covers/{id}/generate-variants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Generate all format variant covers</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/api/v1/cover-designer/templates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List cover design templates</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/api/v1/cover-designer/fonts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List available fonts</w:t>
            </w:r>
          </w:p>
        </w:tc>
      </w:tr>
    </w:tbl>
    <w:p>
      <w:r>
        <w:br w:type="page"/>
      </w:r>
    </w:p>
    <w:p>
      <w:pPr>
        <w:pStyle w:val="Heading2"/>
        <w:spacing w:before="240" w:after="80"/>
      </w:pPr>
      <w:r>
        <w:rPr>
          <w:rFonts w:ascii="Arial" w:cs="Arial" w:eastAsia="Arial" w:hAnsi="Arial"/>
          <w:b/>
          <w:bCs/>
          <w:color w:val="1B3A5C"/>
          <w:sz w:val="26"/>
          <w:szCs w:val="26"/>
        </w:rPr>
        <w:t xml:space="preserve">3.6 Distribution Channel Management</w:t>
      </w:r>
    </w:p>
    <w:p>
      <w:pPr>
        <w:spacing w:before="80" w:after="80"/>
      </w:pPr>
      <w:r>
        <w:rPr>
          <w:rFonts w:ascii="Arial" w:cs="Arial" w:eastAsia="Arial" w:hAnsi="Arial"/>
          <w:color w:val="666666"/>
          <w:sz w:val="16"/>
          <w:szCs w:val="16"/>
        </w:rPr>
        <w:t xml:space="preserve">Implements: </w:t>
      </w:r>
      <w:r>
        <w:rPr>
          <w:rFonts w:ascii="Arial" w:cs="Arial" w:eastAsia="Arial" w:hAnsi="Arial"/>
          <w:b/>
          <w:bCs/>
          <w:color w:val="1B3A5C"/>
          <w:sz w:val="16"/>
          <w:szCs w:val="16"/>
        </w:rPr>
        <w:t xml:space="preserve">GUT-DIST-001 through 011</w:t>
      </w:r>
      <w:r>
        <w:rPr>
          <w:rFonts w:ascii="Arial" w:cs="Arial" w:eastAsia="Arial" w:hAnsi="Arial"/>
          <w:color w:val="666666"/>
          <w:sz w:val="16"/>
          <w:szCs w:val="16"/>
        </w:rPr>
        <w:t xml:space="preserve">  |  RDD Ref: </w:t>
      </w:r>
      <w:r>
        <w:rPr>
          <w:rFonts w:ascii="Arial" w:cs="Arial" w:eastAsia="Arial" w:hAnsi="Arial"/>
          <w:color w:val="C9A84C"/>
          <w:sz w:val="16"/>
          <w:szCs w:val="16"/>
        </w:rPr>
        <w:t xml:space="preserve">RDD §3.6</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3.6.1 Distribution Orchestration Architecture</w:t>
      </w:r>
    </w:p>
    <w:p>
      <w:pPr>
        <w:spacing w:before="80" w:after="80"/>
      </w:pPr>
      <w:r>
        <w:rPr>
          <w:rFonts w:ascii="Arial" w:cs="Arial" w:eastAsia="Arial" w:hAnsi="Arial"/>
          <w:sz w:val="20"/>
          <w:szCs w:val="20"/>
        </w:rPr>
        <w:t xml:space="preserve">The Distribution Service manages all channel submissions via a channel adapter pattern. Each retail/library channel is implemented as a pluggable adapter conforming to a standard ChannelAdapter interface with methods: submit(format, metadata), checkStatus(distribution_id), update(format, metadata), and withdraw(distribution_id). This architecture allows new channels to be added without modifying the core service.</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3.6.2 Distribution Submission Workflow</w:t>
      </w:r>
    </w:p>
    <w:p>
      <w:pPr>
        <w:spacing w:before="60" w:after="60"/>
      </w:pPr>
      <w:r>
        <w:rPr>
          <w:rFonts w:ascii="Arial" w:cs="Arial" w:eastAsia="Arial" w:hAnsi="Arial"/>
          <w:b/>
          <w:bCs/>
          <w:color w:val="C9A84C"/>
          <w:sz w:val="20"/>
          <w:szCs w:val="20"/>
        </w:rPr>
        <w:t xml:space="preserve">  1. </w:t>
      </w:r>
      <w:r>
        <w:rPr>
          <w:rFonts w:ascii="Arial" w:cs="Arial" w:eastAsia="Arial" w:hAnsi="Arial"/>
          <w:sz w:val="20"/>
          <w:szCs w:val="20"/>
        </w:rPr>
        <w:t xml:space="preserve">Author selects target channels and configures pricing in the Distribute tab.</w:t>
      </w:r>
    </w:p>
    <w:p>
      <w:pPr>
        <w:spacing w:before="60" w:after="60"/>
      </w:pPr>
      <w:r>
        <w:rPr>
          <w:rFonts w:ascii="Arial" w:cs="Arial" w:eastAsia="Arial" w:hAnsi="Arial"/>
          <w:b/>
          <w:bCs/>
          <w:color w:val="C9A84C"/>
          <w:sz w:val="20"/>
          <w:szCs w:val="20"/>
        </w:rPr>
        <w:t xml:space="preserve">  2. </w:t>
      </w:r>
      <w:r>
        <w:rPr>
          <w:rFonts w:ascii="Arial" w:cs="Arial" w:eastAsia="Arial" w:hAnsi="Arial"/>
          <w:sz w:val="20"/>
          <w:szCs w:val="20"/>
        </w:rPr>
        <w:t xml:space="preserve">Channel Readiness is re-validated. Blocking errors must be resolved before submission.</w:t>
      </w:r>
    </w:p>
    <w:p>
      <w:pPr>
        <w:spacing w:before="60" w:after="60"/>
      </w:pPr>
      <w:r>
        <w:rPr>
          <w:rFonts w:ascii="Arial" w:cs="Arial" w:eastAsia="Arial" w:hAnsi="Arial"/>
          <w:b/>
          <w:bCs/>
          <w:color w:val="C9A84C"/>
          <w:sz w:val="20"/>
          <w:szCs w:val="20"/>
        </w:rPr>
        <w:t xml:space="preserve">  3. </w:t>
      </w:r>
      <w:r>
        <w:rPr>
          <w:rFonts w:ascii="Arial" w:cs="Arial" w:eastAsia="Arial" w:hAnsi="Arial"/>
          <w:sz w:val="20"/>
          <w:szCs w:val="20"/>
        </w:rPr>
        <w:t xml:space="preserve">Author selects exclusivity preference. If KDP Select is chosen, the system warns that other channels will be disabled for the exclusivity period.</w:t>
      </w:r>
    </w:p>
    <w:p>
      <w:pPr>
        <w:spacing w:before="60" w:after="60"/>
      </w:pPr>
      <w:r>
        <w:rPr>
          <w:rFonts w:ascii="Arial" w:cs="Arial" w:eastAsia="Arial" w:hAnsi="Arial"/>
          <w:b/>
          <w:bCs/>
          <w:color w:val="C9A84C"/>
          <w:sz w:val="20"/>
          <w:szCs w:val="20"/>
        </w:rPr>
        <w:t xml:space="preserve">  4. </w:t>
      </w:r>
      <w:r>
        <w:rPr>
          <w:rFonts w:ascii="Arial" w:cs="Arial" w:eastAsia="Arial" w:hAnsi="Arial"/>
          <w:sz w:val="20"/>
          <w:szCs w:val="20"/>
        </w:rPr>
        <w:t xml:space="preserve">Author confirms submission. Distribution jobs are created for each selected channel with status: pending.</w:t>
      </w:r>
    </w:p>
    <w:p>
      <w:pPr>
        <w:spacing w:before="60" w:after="60"/>
      </w:pPr>
      <w:r>
        <w:rPr>
          <w:rFonts w:ascii="Arial" w:cs="Arial" w:eastAsia="Arial" w:hAnsi="Arial"/>
          <w:b/>
          <w:bCs/>
          <w:color w:val="C9A84C"/>
          <w:sz w:val="20"/>
          <w:szCs w:val="20"/>
        </w:rPr>
        <w:t xml:space="preserve">  5. </w:t>
      </w:r>
      <w:r>
        <w:rPr>
          <w:rFonts w:ascii="Arial" w:cs="Arial" w:eastAsia="Arial" w:hAnsi="Arial"/>
          <w:sz w:val="20"/>
          <w:szCs w:val="20"/>
        </w:rPr>
        <w:t xml:space="preserve">Distribution Service queues one job per channel. Jobs are processed asynchronously with rate limiting per channel API.</w:t>
      </w:r>
    </w:p>
    <w:p>
      <w:pPr>
        <w:spacing w:before="60" w:after="60"/>
      </w:pPr>
      <w:r>
        <w:rPr>
          <w:rFonts w:ascii="Arial" w:cs="Arial" w:eastAsia="Arial" w:hAnsi="Arial"/>
          <w:b/>
          <w:bCs/>
          <w:color w:val="C9A84C"/>
          <w:sz w:val="20"/>
          <w:szCs w:val="20"/>
        </w:rPr>
        <w:t xml:space="preserve">  6. </w:t>
      </w:r>
      <w:r>
        <w:rPr>
          <w:rFonts w:ascii="Arial" w:cs="Arial" w:eastAsia="Arial" w:hAnsi="Arial"/>
          <w:sz w:val="20"/>
          <w:szCs w:val="20"/>
        </w:rPr>
        <w:t xml:space="preserve">Per-channel submission results (submitted / rejected) are returned and stored. Rejection reasons are displayed in plain language with actionable resolution steps.</w:t>
      </w:r>
    </w:p>
    <w:p>
      <w:pPr>
        <w:spacing w:before="60" w:after="60"/>
      </w:pPr>
      <w:r>
        <w:rPr>
          <w:rFonts w:ascii="Arial" w:cs="Arial" w:eastAsia="Arial" w:hAnsi="Arial"/>
          <w:b/>
          <w:bCs/>
          <w:color w:val="C9A84C"/>
          <w:sz w:val="20"/>
          <w:szCs w:val="20"/>
        </w:rPr>
        <w:t xml:space="preserve">  7. </w:t>
      </w:r>
      <w:r>
        <w:rPr>
          <w:rFonts w:ascii="Arial" w:cs="Arial" w:eastAsia="Arial" w:hAnsi="Arial"/>
          <w:sz w:val="20"/>
          <w:szCs w:val="20"/>
        </w:rPr>
        <w:t xml:space="preserve">The Distribution Dashboard updates in real-time via Server-Sent Events. Email notification is sent on status changes to live or rejected.</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3.6.3 Channel Adapter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2200"/>
        <w:gridCol w:w="18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API 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Auth Method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Submission Format</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 Polling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Amazon KDP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 (KDP API v2)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OAuth 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Metadata + file upload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Webhook + polling fallback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IngramSpark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 (Ingram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Key + secret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ONIX + file upload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Polling (15-min intervals)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Apple Books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iTMC (XML feed)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Transporter credentials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ITMSP package upload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 status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Barnes &amp; Noble Press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OAuth 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Metadata + file upload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Polling (hourly)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Kobo Writing Life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Metadata + file upload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Webhook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Play Books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Partner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OAuth 2.0 (service account)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ONIX + file upload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Polling (daily)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OverDrive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 (Marketplace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ONIX + DRM-wrapped EPUB</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Polling (daily)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Bibliotheca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SFTP + metadata XML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SFTP credentials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cloudLibrary format package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confirmation</w:t>
            </w:r>
          </w:p>
        </w:tc>
      </w:tr>
    </w:tbl>
    <w:p>
      <w:pPr>
        <w:spacing w:before="120" w:after="120"/>
      </w:pPr>
      <w:r>
        <w:t xml:space="preserve"/>
      </w:r>
    </w:p>
    <w:p>
      <w:pPr>
        <w:pStyle w:val="Heading3"/>
        <w:spacing w:before="200" w:after="60"/>
      </w:pPr>
      <w:r>
        <w:rPr>
          <w:rFonts w:ascii="Arial" w:cs="Arial" w:eastAsia="Arial" w:hAnsi="Arial"/>
          <w:b/>
          <w:bCs/>
          <w:color w:val="333333"/>
          <w:sz w:val="22"/>
          <w:szCs w:val="22"/>
        </w:rPr>
        <w:t xml:space="preserve">3.6.4 Guttenberg Author Store</w:t>
      </w:r>
    </w:p>
    <w:p>
      <w:pPr>
        <w:spacing w:before="80" w:after="80"/>
      </w:pPr>
      <w:r>
        <w:rPr>
          <w:rFonts w:ascii="Arial" w:cs="Arial" w:eastAsia="Arial" w:hAnsi="Arial"/>
          <w:sz w:val="20"/>
          <w:szCs w:val="20"/>
        </w:rPr>
        <w:t xml:space="preserve">The Author Store is a direct-to-reader sales channel hosted on Guttenberg infrastructure. Each author receives a storefront at store.guttenberg.io/{author_slug}. Store features include: individual book pages with cover, description, sample chapters, and format selection; Stripe Checkout integration for e-book delivery (immediate) and POD print orders (fulfilled via IngramSpark Spark program); configurable discount codes; and an email capture option at checkout.</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3.6.5 API Endpoints — Distribution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/api/v1/titles/{id}/distribute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Submit title to selected channels</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/api/v1/titles/{id}/distribution</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distribution status for all channels</w:t>
            </w:r>
          </w:p>
        </w:tc>
      </w:tr>
      <w:tr>
        <w:tc>
          <w:tcPr>
            <w:tcW w:type="dxa" w:w="9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Courier New" w:cs="Courier New" w:eastAsia="Courier New" w:hAnsi="Courier New"/>
                <w:b/>
                <w:bCs/>
                <w:color w:val="664400"/>
                <w:sz w:val="16"/>
                <w:szCs w:val="16"/>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/api/v1/distributions/{id}/pricing</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Update pricing on a live distribution</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/api/v1/distributions/{id}/withdraw</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Withdraw from a distribution channel</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/api/v1/channels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List supported distribution channels</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/api/v1/channels/{id}/requirements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current technical requirements for a channel</w:t>
            </w:r>
          </w:p>
        </w:tc>
      </w:tr>
    </w:tbl>
    <w:p>
      <w:r>
        <w:br w:type="page"/>
      </w:r>
    </w:p>
    <w:p>
      <w:pPr>
        <w:pStyle w:val="Heading2"/>
        <w:spacing w:before="240" w:after="80"/>
      </w:pPr>
      <w:r>
        <w:rPr>
          <w:rFonts w:ascii="Arial" w:cs="Arial" w:eastAsia="Arial" w:hAnsi="Arial"/>
          <w:b/>
          <w:bCs/>
          <w:color w:val="1B3A5C"/>
          <w:sz w:val="26"/>
          <w:szCs w:val="26"/>
        </w:rPr>
        <w:t xml:space="preserve">3.7 Pricing, Royalties, and Financial Reporting</w:t>
      </w:r>
    </w:p>
    <w:p>
      <w:pPr>
        <w:spacing w:before="80" w:after="80"/>
      </w:pPr>
      <w:r>
        <w:rPr>
          <w:rFonts w:ascii="Arial" w:cs="Arial" w:eastAsia="Arial" w:hAnsi="Arial"/>
          <w:color w:val="666666"/>
          <w:sz w:val="16"/>
          <w:szCs w:val="16"/>
        </w:rPr>
        <w:t xml:space="preserve">Implements: </w:t>
      </w:r>
      <w:r>
        <w:rPr>
          <w:rFonts w:ascii="Arial" w:cs="Arial" w:eastAsia="Arial" w:hAnsi="Arial"/>
          <w:b/>
          <w:bCs/>
          <w:color w:val="1B3A5C"/>
          <w:sz w:val="16"/>
          <w:szCs w:val="16"/>
        </w:rPr>
        <w:t xml:space="preserve">GUT-FIN-001 through 008</w:t>
      </w:r>
      <w:r>
        <w:rPr>
          <w:rFonts w:ascii="Arial" w:cs="Arial" w:eastAsia="Arial" w:hAnsi="Arial"/>
          <w:color w:val="666666"/>
          <w:sz w:val="16"/>
          <w:szCs w:val="16"/>
        </w:rPr>
        <w:t xml:space="preserve">  |  RDD Ref: </w:t>
      </w:r>
      <w:r>
        <w:rPr>
          <w:rFonts w:ascii="Arial" w:cs="Arial" w:eastAsia="Arial" w:hAnsi="Arial"/>
          <w:color w:val="C9A84C"/>
          <w:sz w:val="16"/>
          <w:szCs w:val="16"/>
        </w:rPr>
        <w:t xml:space="preserve">RDD §3.7</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3.7.1 Real-Time Royalty Calculator</w:t>
      </w:r>
    </w:p>
    <w:p>
      <w:pPr>
        <w:spacing w:before="80" w:after="80"/>
      </w:pPr>
      <w:r>
        <w:rPr>
          <w:rFonts w:ascii="Arial" w:cs="Arial" w:eastAsia="Arial" w:hAnsi="Arial"/>
          <w:sz w:val="20"/>
          <w:szCs w:val="20"/>
        </w:rPr>
        <w:t xml:space="preserve">The royalty calculator is rendered as a React component on the pricing configuration page. It accepts the list price as input and displays a breakdown table showing gross royalty, distribution fee, platform fee, and net royalty for each selected channel. Calculations use the current royalty rates retrieved from the Channel Configuration service (rates are updated when channels publish changes). The component debounces input and re-calculates on every keystroke.</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3.7.2 Royalty Rate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Royalty Rate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Amazon KDP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 (at $2.99–$9.99), 35% (outside range)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 rates apply below $2.99 and above $9.99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Amazon KDP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Paperback (POD)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 of list price minus printing cost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Printing cost varies by page count and trim size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IngramSpark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 of list price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Publisher price set; Ingram takes 55%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IngramSpark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Paperback (POD)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price minus printing cost and wholesale discount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Wholesale discount typically 40–55%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Apple Books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 of list price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sets retail price directly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Kobo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 of list price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 above $1.99; 45% below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Guttenberg Author Store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97% of list price (3% payment processing)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Highest royalty — direct sales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Guttenberg Author Store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Print POD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price minus Ingram printing cost and 3% payment fee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Fulfilled via Ingram Spark POD</w:t>
            </w:r>
          </w:p>
        </w:tc>
      </w:tr>
    </w:tbl>
    <w:p>
      <w:pPr>
        <w:spacing w:before="120" w:after="120"/>
      </w:pPr>
      <w:r>
        <w:t xml:space="preserve"/>
      </w:r>
    </w:p>
    <w:p>
      <w:pPr>
        <w:pStyle w:val="Heading3"/>
        <w:spacing w:before="200" w:after="60"/>
      </w:pPr>
      <w:r>
        <w:rPr>
          <w:rFonts w:ascii="Arial" w:cs="Arial" w:eastAsia="Arial" w:hAnsi="Arial"/>
          <w:b/>
          <w:bCs/>
          <w:color w:val="333333"/>
          <w:sz w:val="22"/>
          <w:szCs w:val="22"/>
        </w:rPr>
        <w:t xml:space="preserve">3.7.3 Earnings Aggregation</w:t>
      </w:r>
    </w:p>
    <w:p>
      <w:pPr>
        <w:spacing w:before="80" w:after="80"/>
      </w:pPr>
      <w:r>
        <w:rPr>
          <w:rFonts w:ascii="Arial" w:cs="Arial" w:eastAsia="Arial" w:hAnsi="Arial"/>
          <w:sz w:val="20"/>
          <w:szCs w:val="20"/>
        </w:rPr>
        <w:t xml:space="preserve">The Finance Service runs a nightly aggregation job that pulls sales reports from each connected distribution channel via their reporting APIs. Data is normalized into a unified SaleRecord schema: title_id, format_id, channel_id, sale_date, units_sold, gross_revenue, royalty_earned, currency, territory. All monetary values are stored in local currency and converted to USD using the exchange rate at the time of the report. Authors view earnings in their preferred currency.</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3.7.4 API Endpoints — Finance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/api/v1/titles/{id}/royalties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royalty summary for a title</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/api/v1/earnings/dashboard</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consolidated earnings dashboard data</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/api/v1/earnings/export</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Export earnings data as CSV or PDF</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/api/v1/royalties/calculate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Real-time royalty calculation for pricing UI</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/api/v1/sales/by-channel</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sales breakdown by channel and time range</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/api/v1/sales/by-territory</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geographic sales data</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/api/v1/payments/disburse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Trigger manual royalty disbursement (Author Store)</w:t>
            </w:r>
          </w:p>
        </w:tc>
      </w:tr>
    </w:tbl>
    <w:p>
      <w:r>
        <w:br w:type="page"/>
      </w:r>
    </w:p>
    <w:p>
      <w:pPr>
        <w:pStyle w:val="Heading2"/>
        <w:spacing w:before="240" w:after="80"/>
      </w:pPr>
      <w:r>
        <w:rPr>
          <w:rFonts w:ascii="Arial" w:cs="Arial" w:eastAsia="Arial" w:hAnsi="Arial"/>
          <w:b/>
          <w:bCs/>
          <w:color w:val="1B3A5C"/>
          <w:sz w:val="26"/>
          <w:szCs w:val="26"/>
        </w:rPr>
        <w:t xml:space="preserve">3.8 Marketing and Discovery Tools</w:t>
      </w:r>
    </w:p>
    <w:p>
      <w:pPr>
        <w:spacing w:before="80" w:after="80"/>
      </w:pPr>
      <w:r>
        <w:rPr>
          <w:rFonts w:ascii="Arial" w:cs="Arial" w:eastAsia="Arial" w:hAnsi="Arial"/>
          <w:color w:val="666666"/>
          <w:sz w:val="16"/>
          <w:szCs w:val="16"/>
        </w:rPr>
        <w:t xml:space="preserve">Implements: </w:t>
      </w:r>
      <w:r>
        <w:rPr>
          <w:rFonts w:ascii="Arial" w:cs="Arial" w:eastAsia="Arial" w:hAnsi="Arial"/>
          <w:b/>
          <w:bCs/>
          <w:color w:val="1B3A5C"/>
          <w:sz w:val="16"/>
          <w:szCs w:val="16"/>
        </w:rPr>
        <w:t xml:space="preserve">GUT-MKT-001 through 009</w:t>
      </w:r>
      <w:r>
        <w:rPr>
          <w:rFonts w:ascii="Arial" w:cs="Arial" w:eastAsia="Arial" w:hAnsi="Arial"/>
          <w:color w:val="666666"/>
          <w:sz w:val="16"/>
          <w:szCs w:val="16"/>
        </w:rPr>
        <w:t xml:space="preserve">  |  RDD Ref: </w:t>
      </w:r>
      <w:r>
        <w:rPr>
          <w:rFonts w:ascii="Arial" w:cs="Arial" w:eastAsia="Arial" w:hAnsi="Arial"/>
          <w:color w:val="C9A84C"/>
          <w:sz w:val="16"/>
          <w:szCs w:val="16"/>
        </w:rPr>
        <w:t xml:space="preserve">RDD §3.8</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3.8.1 Book Landing Page</w:t>
      </w:r>
    </w:p>
    <w:p>
      <w:pPr>
        <w:spacing w:before="80" w:after="80"/>
      </w:pPr>
      <w:r>
        <w:rPr>
          <w:rFonts w:ascii="Arial" w:cs="Arial" w:eastAsia="Arial" w:hAnsi="Arial"/>
          <w:sz w:val="20"/>
          <w:szCs w:val="20"/>
        </w:rPr>
        <w:t xml:space="preserve">Each published title automatically receives a landing page at books.guttenberg.io/{title_slug}. The landing page is built from a configurable React template and populated from the Title metadata. The page includes: full-bleed cover header, synopsis (short and long), author bio with photo, purchase buttons linking to all live distribution channels, an author direct-buy button (Author Store), embedded media (book trailer if provided), a review feed (from Scrybe), and a social share bar. Authors can customize the page color scheme and background from 10 preset themes.</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3.8.2 Scrybe Syndication</w:t>
      </w:r>
    </w:p>
    <w:p>
      <w:pPr>
        <w:spacing w:before="80" w:after="80"/>
      </w:pPr>
      <w:r>
        <w:rPr>
          <w:rFonts w:ascii="Arial" w:cs="Arial" w:eastAsia="Arial" w:hAnsi="Arial"/>
          <w:sz w:val="20"/>
          <w:szCs w:val="20"/>
        </w:rPr>
        <w:t xml:space="preserve">On PublicationLive event (when any distribution channel goes live), the Marketing Service calls the Scrybe API to create a Book Page record in Scrybe. The Scrybe Book Page populates from the Guttenberg Title record and includes a 'Purchase' CTA linking back to the Guttenberg landing page. The author's Scrybe profile feed displays the publication as an activity item. Future updates to the Title metadata (new edition, price change, new format) are pushed to Scrybe via PATCH calls.</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3.8.3 ARC Management</w:t>
      </w:r>
    </w:p>
    <w:p>
      <w:pPr>
        <w:spacing w:before="80" w:after="80"/>
      </w:pPr>
      <w:r>
        <w:rPr>
          <w:rFonts w:ascii="Arial" w:cs="Arial" w:eastAsia="Arial" w:hAnsi="Arial"/>
          <w:sz w:val="20"/>
          <w:szCs w:val="20"/>
        </w:rPr>
        <w:t xml:space="preserve">ARC (Advance Review Copy) management operates as follows: Author creates an ARC campaign linked to a Title. A time-limited, watermarked EPUB is generated for ARC delivery. The author sets a reviewer request form with optional custom questions. Reviewers submit interest and receive a download link via email. The ARC Manager tracks: number of ARCs distributed, reviewer status (received/reviewed), and review links submitted. ARCs expire on the publication date by default.</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3.8.4 Press Kit Generation</w:t>
      </w:r>
    </w:p>
    <w:p>
      <w:pPr>
        <w:spacing w:before="80" w:after="80"/>
      </w:pPr>
      <w:r>
        <w:rPr>
          <w:rFonts w:ascii="Arial" w:cs="Arial" w:eastAsia="Arial" w:hAnsi="Arial"/>
          <w:sz w:val="20"/>
          <w:szCs w:val="20"/>
        </w:rPr>
        <w:t xml:space="preserve">The Press Kit is assembled by the Marketing Service from existing Title assets and generated on demand as a ZIP archive containing: high-resolution cover (JPEG 300 DPI), synopsis (short and long, in .txt and .docx formats), author bio (short and long), author photo (if uploaded), key facts sheet (genre, word count, publication date, ISBN, price, distribution channels), and 5 sample pages from the formatted interior.</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3.8.5 API Endpoints — Marketing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/api/v1/titles/{id}/landing-page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landing page configuration</w:t>
            </w:r>
          </w:p>
        </w:tc>
      </w:tr>
      <w:tr>
        <w:tc>
          <w:tcPr>
            <w:tcW w:type="dxa" w:w="9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Courier New" w:cs="Courier New" w:eastAsia="Courier New" w:hAnsi="Courier New"/>
                <w:b/>
                <w:bCs/>
                <w:color w:val="664400"/>
                <w:sz w:val="16"/>
                <w:szCs w:val="16"/>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/api/v1/titles/{id}/landing-page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Update landing page settings</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/api/v1/titles/{id}/press-kit</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Generate and download press kit ZIP</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/api/v1/titles/{id}/arc-campaign</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Create ARC campaign</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/api/v1/arc-campaigns/{id}/reviewers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List ARC reviewers and status</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/api/v1/titles/{id}/social-assets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Generate social media announcement assets</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/api/v1/titles/{id}/scrybe-sync</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Manually trigger Scrybe syndication</w:t>
            </w:r>
          </w:p>
        </w:tc>
      </w:tr>
    </w:tbl>
    <w:p>
      <w:r>
        <w:br w:type="page"/>
      </w:r>
    </w:p>
    <w:p>
      <w:pPr>
        <w:pStyle w:val="Heading2"/>
        <w:spacing w:before="240" w:after="80"/>
      </w:pPr>
      <w:r>
        <w:rPr>
          <w:rFonts w:ascii="Arial" w:cs="Arial" w:eastAsia="Arial" w:hAnsi="Arial"/>
          <w:b/>
          <w:bCs/>
          <w:color w:val="1B3A5C"/>
          <w:sz w:val="26"/>
          <w:szCs w:val="26"/>
        </w:rPr>
        <w:t xml:space="preserve">3.9 Audiobook Production and Distribution</w:t>
      </w:r>
    </w:p>
    <w:p>
      <w:pPr>
        <w:spacing w:before="80" w:after="80"/>
      </w:pPr>
      <w:r>
        <w:rPr>
          <w:rFonts w:ascii="Arial" w:cs="Arial" w:eastAsia="Arial" w:hAnsi="Arial"/>
          <w:color w:val="666666"/>
          <w:sz w:val="16"/>
          <w:szCs w:val="16"/>
        </w:rPr>
        <w:t xml:space="preserve">Implements: </w:t>
      </w:r>
      <w:r>
        <w:rPr>
          <w:rFonts w:ascii="Arial" w:cs="Arial" w:eastAsia="Arial" w:hAnsi="Arial"/>
          <w:b/>
          <w:bCs/>
          <w:color w:val="1B3A5C"/>
          <w:sz w:val="16"/>
          <w:szCs w:val="16"/>
        </w:rPr>
        <w:t xml:space="preserve">GUT-AUD-001 through 005</w:t>
      </w:r>
      <w:r>
        <w:rPr>
          <w:rFonts w:ascii="Arial" w:cs="Arial" w:eastAsia="Arial" w:hAnsi="Arial"/>
          <w:color w:val="666666"/>
          <w:sz w:val="16"/>
          <w:szCs w:val="16"/>
        </w:rPr>
        <w:t xml:space="preserve">  |  RDD Ref: </w:t>
      </w:r>
      <w:r>
        <w:rPr>
          <w:rFonts w:ascii="Arial" w:cs="Arial" w:eastAsia="Arial" w:hAnsi="Arial"/>
          <w:color w:val="C9A84C"/>
          <w:sz w:val="16"/>
          <w:szCs w:val="16"/>
        </w:rPr>
        <w:t xml:space="preserve">RDD §3.9</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3.9.1 Audiobook Project Workflow</w:t>
      </w:r>
    </w:p>
    <w:p>
      <w:pPr>
        <w:spacing w:before="80" w:after="80"/>
      </w:pPr>
      <w:r>
        <w:rPr>
          <w:rFonts w:ascii="Arial" w:cs="Arial" w:eastAsia="Arial" w:hAnsi="Arial"/>
          <w:sz w:val="20"/>
          <w:szCs w:val="20"/>
        </w:rPr>
        <w:t xml:space="preserve">Audiobook projects are created as child entities of an existing print/e-book Title. Metadata inheritance is automatic. The audiobook workflow supports two production paths: Upload Finished Audiobook (for ACX-produced or professionally narrated recordings) and AI Narration (for AI-generated narration from manuscript text). The Upload path accepts MP3 (192kbps minimum) or WAV (44.1kHz, 16-bit or higher) files. Chapter files must be individually segmented for ACX compliance.</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3.9.2 ACX Technical Compliance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ACX Requirement</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Guttenberg Validation Check</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Action on Non-Compliance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 Format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MP3 (constant bit rate) or WAV (LPCM)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Rejection with format conversion offer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Bitrate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192 kbps constant for MP3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Auto-conversion option offered (via FFmpeg)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Sample Rate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44.1 kHz</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Auto-conversion offered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Channels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Mono or stereo (stereo recommended)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Warning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Noise Floor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Below -60 dBFS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Flagged — author advised to clean audio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Chapter Markers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chapter as separate file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Checklist validation; missing files flagged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Opening Credits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 1-5 second narration tag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Warning if absent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Retail Sample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30-second sample file provided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Required field — prevents submission if absent</w:t>
            </w:r>
          </w:p>
        </w:tc>
      </w:tr>
    </w:tbl>
    <w:p>
      <w:pPr>
        <w:spacing w:before="120" w:after="120"/>
      </w:pPr>
      <w:r>
        <w:t xml:space="preserve"/>
      </w:r>
    </w:p>
    <w:p>
      <w:pPr>
        <w:pStyle w:val="Heading3"/>
        <w:spacing w:before="200" w:after="60"/>
      </w:pPr>
      <w:r>
        <w:rPr>
          <w:rFonts w:ascii="Arial" w:cs="Arial" w:eastAsia="Arial" w:hAnsi="Arial"/>
          <w:b/>
          <w:bCs/>
          <w:color w:val="333333"/>
          <w:sz w:val="22"/>
          <w:szCs w:val="22"/>
        </w:rPr>
        <w:t xml:space="preserve">3.9.3 AI Narration</w:t>
      </w:r>
    </w:p>
    <w:p>
      <w:pPr>
        <w:spacing w:before="80" w:after="80"/>
      </w:pPr>
      <w:r>
        <w:rPr>
          <w:rFonts w:ascii="Arial" w:cs="Arial" w:eastAsia="Arial" w:hAnsi="Arial"/>
          <w:sz w:val="20"/>
          <w:szCs w:val="20"/>
        </w:rPr>
        <w:t xml:space="preserve">AI Narration is offered as an add-on service. The author selects a narrator voice from a library of 20+ licensed AI voices (variety of gender, accent, and tone profiles). The manuscript text is submitted to the AI narration engine chapter by chapter. Generated audio files are returned and run through the ACX validation pipeline. The author can preview any 30-second section and request a re-generation with adjusted pacing or emphasis. All AI-narrated books are labeled 'AI-narrated' on distribution channels per platform disclosure policies.</w:t>
      </w:r>
    </w:p>
    <w:p>
      <w:r>
        <w:br w:type="page"/>
      </w:r>
    </w:p>
    <w:p>
      <w:pPr>
        <w:pStyle w:val="Heading2"/>
        <w:spacing w:before="240" w:after="80"/>
      </w:pPr>
      <w:r>
        <w:rPr>
          <w:rFonts w:ascii="Arial" w:cs="Arial" w:eastAsia="Arial" w:hAnsi="Arial"/>
          <w:b/>
          <w:bCs/>
          <w:color w:val="1B3A5C"/>
          <w:sz w:val="26"/>
          <w:szCs w:val="26"/>
        </w:rPr>
        <w:t xml:space="preserve">3.10 Master Prose Ecosystem Integration</w:t>
      </w:r>
    </w:p>
    <w:p>
      <w:pPr>
        <w:spacing w:before="80" w:after="80"/>
      </w:pPr>
      <w:r>
        <w:rPr>
          <w:rFonts w:ascii="Arial" w:cs="Arial" w:eastAsia="Arial" w:hAnsi="Arial"/>
          <w:color w:val="666666"/>
          <w:sz w:val="16"/>
          <w:szCs w:val="16"/>
        </w:rPr>
        <w:t xml:space="preserve">Implements: </w:t>
      </w:r>
      <w:r>
        <w:rPr>
          <w:rFonts w:ascii="Arial" w:cs="Arial" w:eastAsia="Arial" w:hAnsi="Arial"/>
          <w:b/>
          <w:bCs/>
          <w:color w:val="1B3A5C"/>
          <w:sz w:val="16"/>
          <w:szCs w:val="16"/>
        </w:rPr>
        <w:t xml:space="preserve">GUT-ECO-001 through 006</w:t>
      </w:r>
      <w:r>
        <w:rPr>
          <w:rFonts w:ascii="Arial" w:cs="Arial" w:eastAsia="Arial" w:hAnsi="Arial"/>
          <w:color w:val="666666"/>
          <w:sz w:val="16"/>
          <w:szCs w:val="16"/>
        </w:rPr>
        <w:t xml:space="preserve">  |  RDD Ref: </w:t>
      </w:r>
      <w:r>
        <w:rPr>
          <w:rFonts w:ascii="Arial" w:cs="Arial" w:eastAsia="Arial" w:hAnsi="Arial"/>
          <w:color w:val="C9A84C"/>
          <w:sz w:val="16"/>
          <w:szCs w:val="16"/>
        </w:rPr>
        <w:t xml:space="preserve">RDD §3.10</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3.10.1 MPP Single Sign-On</w:t>
      </w:r>
    </w:p>
    <w:p>
      <w:pPr>
        <w:spacing w:before="80" w:after="80"/>
      </w:pPr>
      <w:r>
        <w:rPr>
          <w:rFonts w:ascii="Arial" w:cs="Arial" w:eastAsia="Arial" w:hAnsi="Arial"/>
          <w:sz w:val="20"/>
          <w:szCs w:val="20"/>
        </w:rPr>
        <w:t xml:space="preserve">Guttenberg uses the Master Prose Platform Identity Service for all authentication. No separate Guttenberg account creation flow exists. The auth flow: User logs into MPP via the unified login page. On access to Guttenberg, the browser presents an MPP-issued JWT. The Guttenberg Auth Service validates the JWT with the MPP Identity Service via /identity/verify. User context (user_id, subscription_tier, roles) is extracted from the token. Guttenberg-specific permissions are evaluated from the Guttenberg entitlements table.</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3.10.2 Publishing Readiness Score</w:t>
      </w:r>
    </w:p>
    <w:p>
      <w:pPr>
        <w:spacing w:before="80" w:after="80"/>
      </w:pPr>
      <w:r>
        <w:rPr>
          <w:rFonts w:ascii="Arial" w:cs="Arial" w:eastAsia="Arial" w:hAnsi="Arial"/>
          <w:sz w:val="20"/>
          <w:szCs w:val="20"/>
        </w:rPr>
        <w:t xml:space="preserve">The Publishing Readiness Score is calculated by combining: Refinery Evaluation Score (weighted 60%), Metadata Completeness Score (weighted 20%), and Pre-flight Validation Score (weighted 20%). The composite score is displayed as a progress bar on the Title Dashboard with color coding: 0–59 (red: Not Ready), 60–79 (amber: Nearly Ready), 80–100 (green: Ready to Publish). Clicking the score expands a detailed breakdown and links to specific items that are reducing the score.</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3.10.3 Guttenberg Activity Feed in Forge</w:t>
      </w:r>
    </w:p>
    <w:p>
      <w:pPr>
        <w:spacing w:before="80" w:after="80"/>
      </w:pPr>
      <w:r>
        <w:rPr>
          <w:rFonts w:ascii="Arial" w:cs="Arial" w:eastAsia="Arial" w:hAnsi="Arial"/>
          <w:sz w:val="20"/>
          <w:szCs w:val="20"/>
        </w:rPr>
        <w:t xml:space="preserve">The Forge writing application displays a Guttenberg Activity Widget in its sidebar. This widget is populated by the Guttenberg Event Feed API, which returns the 10 most recent events for the author's Guttenberg titles. Event types include: DistributionLive, DistributionRejected, SalesMilestone (e.g., 'Your book hit 100 sales!'), RoyaltyDisbursed, and MarketingTaskDue (e.g., 'Your ARC campaign ends in 3 days').</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3.10.4 API Endpoints — Ecosystem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/api/v1/ecosystem/readiness/{title_id}</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publishing readiness score breakdown</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/api/v1/ecosystem/refinery-import</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Initiate Refinery manuscript import</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/api/v1/ecosystem/activity-feed</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Guttenberg activity events for Forge widget</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/api/v1/ecosystem/scrybe/book-page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Create or update Scrybe book page</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/api/v1/ecosystem/entitlements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author's Guttenberg feature entitlements</w:t>
            </w:r>
          </w:p>
        </w:tc>
      </w:tr>
    </w:tbl>
    <w:p>
      <w:r>
        <w:br w:type="page"/>
      </w:r>
    </w:p>
    <w:p>
      <w:pPr>
        <w:pStyle w:val="Heading2"/>
        <w:spacing w:before="240" w:after="80"/>
      </w:pPr>
      <w:r>
        <w:rPr>
          <w:rFonts w:ascii="Arial" w:cs="Arial" w:eastAsia="Arial" w:hAnsi="Arial"/>
          <w:b/>
          <w:bCs/>
          <w:color w:val="1B3A5C"/>
          <w:sz w:val="26"/>
          <w:szCs w:val="26"/>
        </w:rPr>
        <w:t xml:space="preserve">3.11 Enterprise and Small Press Features</w:t>
      </w:r>
    </w:p>
    <w:p>
      <w:pPr>
        <w:spacing w:before="80" w:after="80"/>
      </w:pPr>
      <w:r>
        <w:rPr>
          <w:rFonts w:ascii="Arial" w:cs="Arial" w:eastAsia="Arial" w:hAnsi="Arial"/>
          <w:color w:val="666666"/>
          <w:sz w:val="16"/>
          <w:szCs w:val="16"/>
        </w:rPr>
        <w:t xml:space="preserve">Implements: </w:t>
      </w:r>
      <w:r>
        <w:rPr>
          <w:rFonts w:ascii="Arial" w:cs="Arial" w:eastAsia="Arial" w:hAnsi="Arial"/>
          <w:b/>
          <w:bCs/>
          <w:color w:val="1B3A5C"/>
          <w:sz w:val="16"/>
          <w:szCs w:val="16"/>
        </w:rPr>
        <w:t xml:space="preserve">GUT-ENT-001 through 005</w:t>
      </w:r>
      <w:r>
        <w:rPr>
          <w:rFonts w:ascii="Arial" w:cs="Arial" w:eastAsia="Arial" w:hAnsi="Arial"/>
          <w:color w:val="666666"/>
          <w:sz w:val="16"/>
          <w:szCs w:val="16"/>
        </w:rPr>
        <w:t xml:space="preserve">  |  RDD Ref: </w:t>
      </w:r>
      <w:r>
        <w:rPr>
          <w:rFonts w:ascii="Arial" w:cs="Arial" w:eastAsia="Arial" w:hAnsi="Arial"/>
          <w:color w:val="C9A84C"/>
          <w:sz w:val="16"/>
          <w:szCs w:val="16"/>
        </w:rPr>
        <w:t xml:space="preserve">RDD §3.11</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3.11.1 Multi-User Team Accounts</w:t>
      </w:r>
    </w:p>
    <w:p>
      <w:pPr>
        <w:spacing w:before="80" w:after="80"/>
      </w:pPr>
      <w:r>
        <w:rPr>
          <w:rFonts w:ascii="Arial" w:cs="Arial" w:eastAsia="Arial" w:hAnsi="Arial"/>
          <w:sz w:val="20"/>
          <w:szCs w:val="20"/>
        </w:rPr>
        <w:t xml:space="preserve">Publisher accounts are created under an Organization entity that contains multiple User records. Each User has a role assignment within the Organization: Publisher Admin (full access), Editor (metadata and formatting access, no distribution or finance), Author (own titles only), and Finance (read-only access to financial data). Role-based access control (RBAC) is enforced at the API gateway level for all endpoints.</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3.11.2 Imprint Management</w:t>
      </w:r>
    </w:p>
    <w:p>
      <w:pPr>
        <w:spacing w:before="80" w:after="80"/>
      </w:pPr>
      <w:r>
        <w:rPr>
          <w:rFonts w:ascii="Arial" w:cs="Arial" w:eastAsia="Arial" w:hAnsi="Arial"/>
          <w:sz w:val="20"/>
          <w:szCs w:val="20"/>
        </w:rPr>
        <w:t xml:space="preserve">An Imprint record contains: imprint_id, organization_id, imprint_name, imprint_logo_file_id, default_isbn_block, default_copyright_template, default_distribution_channels, and default_royalty_split. When a Publisher Admin creates a new Title under an imprint, all default settings are inherited. The copyright page template is a Handlebars template supporting variables: {title}, {author}, {imprint_name}, {publication_year}, {isbn}, and {reserved_rights_statement}.</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3.11.3 Catalog Management</w:t>
      </w:r>
    </w:p>
    <w:p>
      <w:pPr>
        <w:spacing w:before="80" w:after="80"/>
      </w:pPr>
      <w:r>
        <w:rPr>
          <w:rFonts w:ascii="Arial" w:cs="Arial" w:eastAsia="Arial" w:hAnsi="Arial"/>
          <w:sz w:val="20"/>
          <w:szCs w:val="20"/>
        </w:rPr>
        <w:t xml:space="preserve">The Publisher Catalog view is a data grid (React Data Grid) displaying all titles across the organization with sortable, filterable columns: Title, Author(s), Status, Formats, Distribution Channels, Publication Date, Lifetime Sales (units), and Lifetime Revenue (USD). Bulk operations available: update pricing, add/remove distribution channels, update metadata fields, and export catalog data as CSV or ONIX batch.</w:t>
      </w:r>
    </w:p>
    <w:p>
      <w:r>
        <w:br w:type="page"/>
      </w:r>
    </w:p>
    <w:p>
      <w:pPr>
        <w:pStyle w:val="Heading2"/>
        <w:spacing w:before="240" w:after="80"/>
      </w:pPr>
      <w:r>
        <w:rPr>
          <w:rFonts w:ascii="Arial" w:cs="Arial" w:eastAsia="Arial" w:hAnsi="Arial"/>
          <w:b/>
          <w:bCs/>
          <w:color w:val="1B3A5C"/>
          <w:sz w:val="26"/>
          <w:szCs w:val="26"/>
        </w:rPr>
        <w:t xml:space="preserve">3.12 Analytics and Reporting</w:t>
      </w:r>
    </w:p>
    <w:p>
      <w:pPr>
        <w:spacing w:before="80" w:after="80"/>
      </w:pPr>
      <w:r>
        <w:rPr>
          <w:rFonts w:ascii="Arial" w:cs="Arial" w:eastAsia="Arial" w:hAnsi="Arial"/>
          <w:color w:val="666666"/>
          <w:sz w:val="16"/>
          <w:szCs w:val="16"/>
        </w:rPr>
        <w:t xml:space="preserve">Implements: </w:t>
      </w:r>
      <w:r>
        <w:rPr>
          <w:rFonts w:ascii="Arial" w:cs="Arial" w:eastAsia="Arial" w:hAnsi="Arial"/>
          <w:b/>
          <w:bCs/>
          <w:color w:val="1B3A5C"/>
          <w:sz w:val="16"/>
          <w:szCs w:val="16"/>
        </w:rPr>
        <w:t xml:space="preserve">GUT-ANA-001 through 005</w:t>
      </w:r>
      <w:r>
        <w:rPr>
          <w:rFonts w:ascii="Arial" w:cs="Arial" w:eastAsia="Arial" w:hAnsi="Arial"/>
          <w:color w:val="666666"/>
          <w:sz w:val="16"/>
          <w:szCs w:val="16"/>
        </w:rPr>
        <w:t xml:space="preserve">  |  RDD Ref: </w:t>
      </w:r>
      <w:r>
        <w:rPr>
          <w:rFonts w:ascii="Arial" w:cs="Arial" w:eastAsia="Arial" w:hAnsi="Arial"/>
          <w:color w:val="C9A84C"/>
          <w:sz w:val="16"/>
          <w:szCs w:val="16"/>
        </w:rPr>
        <w:t xml:space="preserve">RDD §3.12</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3.12.1 Analytics Dashboard Architecture</w:t>
      </w:r>
    </w:p>
    <w:p>
      <w:pPr>
        <w:spacing w:before="80" w:after="80"/>
      </w:pPr>
      <w:r>
        <w:rPr>
          <w:rFonts w:ascii="Arial" w:cs="Arial" w:eastAsia="Arial" w:hAnsi="Arial"/>
          <w:sz w:val="20"/>
          <w:szCs w:val="20"/>
        </w:rPr>
        <w:t xml:space="preserve">The Analytics Dashboard is a React application that fetches data from the Analytics Service's GraphQL API. Dashboards are rendered using Recharts for charts and React Table for tabular data. All dashboard components support: date range selection (presets: last 7 days, 30 days, 90 days, year-to-date, lifetime; and custom range), title filter (single title or all titles), format filter, and channel filter.</w:t>
      </w:r>
    </w:p>
    <w:p>
      <w:pPr>
        <w:spacing w:before="120" w:after="120"/>
      </w:pPr>
      <w:r>
        <w:t xml:space="preserve"/>
      </w:r>
    </w:p>
    <w:p>
      <w:pPr>
        <w:pStyle w:val="Heading3"/>
        <w:spacing w:before="200" w:after="60"/>
      </w:pPr>
      <w:r>
        <w:rPr>
          <w:rFonts w:ascii="Arial" w:cs="Arial" w:eastAsia="Arial" w:hAnsi="Arial"/>
          <w:b/>
          <w:bCs/>
          <w:color w:val="333333"/>
          <w:sz w:val="22"/>
          <w:szCs w:val="22"/>
        </w:rPr>
        <w:t xml:space="preserve">3.12.2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500"/>
        <w:gridCol w:w="21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Widget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Visualization Type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Sales Summary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KPI cards (units, revenue, royalties)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 Service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 (channel reports lag)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 Over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Line chart (units and revenue, dual axis)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 Service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 by Channel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Donut chart + breakdown 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 Service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 by Territory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World choropleth map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 Service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 by Format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Bar chart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 Service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Distribution Channels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 grid (channel, status, URL)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Service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Real-time (SSE)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Amazon Sales Rank History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Line chart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Analytics Service (KDP rank scraper)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6 hours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Royalty Disbursement History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 Service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 disbursement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 Campaign 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Progress bars + reviewer list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Marketing Service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Top Performing Titles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Ranked list (small press only)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 Service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w:t>
            </w:r>
          </w:p>
        </w:tc>
      </w:tr>
    </w:tbl>
    <w:p>
      <w:pPr>
        <w:spacing w:before="120" w:after="120"/>
      </w:pPr>
      <w:r>
        <w:t xml:space="preserve"/>
      </w:r>
    </w:p>
    <w:p>
      <w:pPr>
        <w:pStyle w:val="Heading3"/>
        <w:spacing w:before="200" w:after="60"/>
      </w:pPr>
      <w:r>
        <w:rPr>
          <w:rFonts w:ascii="Arial" w:cs="Arial" w:eastAsia="Arial" w:hAnsi="Arial"/>
          <w:b/>
          <w:bCs/>
          <w:color w:val="333333"/>
          <w:sz w:val="22"/>
          <w:szCs w:val="22"/>
        </w:rPr>
        <w:t xml:space="preserve">3.12.3 API Endpoints — Analytics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Courier New" w:cs="Courier New" w:eastAsia="Courier New" w:hAnsi="Courier New"/>
                <w:b/>
                <w:bCs/>
                <w:color w:val="006600"/>
                <w:sz w:val="16"/>
                <w:szCs w:val="16"/>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/api/v1/analytics/query</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Flexible GraphQL query endpoint for dashboard data</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/api/v1/analytics/titles/{id}/summary</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summary KPIs for a title</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/api/v1/analytics/sales/time-series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sales time series data with filters</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/api/v1/analytics/sales/by-territory</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geographic breakdown</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/api/v1/analytics/sales/rank-history/{id}</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Get Amazon rank history</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Courier New" w:cs="Courier New" w:eastAsia="Courier New" w:hAnsi="Courier New"/>
                <w:b/>
                <w:bCs/>
                <w:color w:val="0033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6"/>
                <w:szCs w:val="16"/>
              </w:rPr>
              <w:t xml:space="preserve">/api/v1/analytics/export</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Export analytics data as CSV</w:t>
            </w:r>
          </w:p>
        </w:tc>
      </w:tr>
    </w:tbl>
    <w:p>
      <w:r>
        <w:br w:type="page"/>
      </w:r>
    </w:p>
    <w:p>
      <w:pPr>
        <w:pStyle w:val="Heading1"/>
        <w:spacing w:before="360" w:after="120"/>
      </w:pPr>
      <w:r>
        <w:rPr>
          <w:rFonts w:ascii="Arial" w:cs="Arial" w:eastAsia="Arial" w:hAnsi="Arial"/>
          <w:b/>
          <w:bCs/>
          <w:color w:val="1B3A5C"/>
          <w:sz w:val="32"/>
          <w:szCs w:val="32"/>
        </w:rPr>
        <w:t xml:space="preserve">4. Security and Compliance Design</w:t>
      </w:r>
    </w:p>
    <w:p>
      <w:pPr>
        <w:pStyle w:val="Heading2"/>
        <w:spacing w:before="240" w:after="80"/>
      </w:pPr>
      <w:r>
        <w:rPr>
          <w:rFonts w:ascii="Arial" w:cs="Arial" w:eastAsia="Arial" w:hAnsi="Arial"/>
          <w:b/>
          <w:bCs/>
          <w:color w:val="1B3A5C"/>
          <w:sz w:val="26"/>
          <w:szCs w:val="26"/>
        </w:rPr>
        <w:t xml:space="preserve">4.1 Data Security</w:t>
      </w:r>
    </w:p>
    <w:p>
      <w:pPr>
        <w:spacing w:before="80" w:after="80"/>
      </w:pPr>
      <w:r>
        <w:rPr>
          <w:rFonts w:ascii="Arial" w:cs="Arial" w:eastAsia="Arial" w:hAnsi="Arial"/>
          <w:sz w:val="20"/>
          <w:szCs w:val="20"/>
        </w:rPr>
        <w:t xml:space="preserve">All manuscript files and cover art are stored in S3 with server-side encryption (AES-256, AWS managed keys). Per-author S3 prefixes are access-controlled via IAM policies — no author can access another author's files via a direct S3 URL. All inter-service communication occurs over mTLS. Secrets are managed via AWS Secrets Manager; no secrets appear in environment variables or source code.</w:t>
      </w:r>
    </w:p>
    <w:p>
      <w:pPr>
        <w:spacing w:before="120" w:after="120"/>
      </w:pPr>
      <w:r>
        <w:t xml:space="preserve"/>
      </w:r>
    </w:p>
    <w:p>
      <w:pPr>
        <w:pStyle w:val="Heading2"/>
        <w:spacing w:before="240" w:after="80"/>
      </w:pPr>
      <w:r>
        <w:rPr>
          <w:rFonts w:ascii="Arial" w:cs="Arial" w:eastAsia="Arial" w:hAnsi="Arial"/>
          <w:b/>
          <w:bCs/>
          <w:color w:val="1B3A5C"/>
          <w:sz w:val="26"/>
          <w:szCs w:val="26"/>
        </w:rPr>
        <w:t xml:space="preserve">4.2 Author IP Protection</w:t>
      </w:r>
    </w:p>
    <w:p>
      <w:pPr>
        <w:spacing w:before="80" w:after="80"/>
      </w:pPr>
      <w:r>
        <w:rPr>
          <w:rFonts w:ascii="Arial" w:cs="Arial" w:eastAsia="Arial" w:hAnsi="Arial"/>
          <w:sz w:val="20"/>
          <w:szCs w:val="20"/>
        </w:rPr>
        <w:t xml:space="preserve">Guttenberg's terms of service explicitly state that platform operators have no rights to author manuscripts beyond what is required for service delivery. Manuscripts are processed in isolated containerized environments with no persistent storage of intermediate files. Pre-flight and formatting jobs delete all intermediate files from worker storage immediately on job completion. Manuscript data is logically partitioned per author — cross-author queries are impossible at the application layer.</w:t>
      </w:r>
    </w:p>
    <w:p>
      <w:pPr>
        <w:spacing w:before="120" w:after="120"/>
      </w:pPr>
      <w:r>
        <w:t xml:space="preserve"/>
      </w:r>
    </w:p>
    <w:p>
      <w:pPr>
        <w:pStyle w:val="Heading2"/>
        <w:spacing w:before="240" w:after="80"/>
      </w:pPr>
      <w:r>
        <w:rPr>
          <w:rFonts w:ascii="Arial" w:cs="Arial" w:eastAsia="Arial" w:hAnsi="Arial"/>
          <w:b/>
          <w:bCs/>
          <w:color w:val="1B3A5C"/>
          <w:sz w:val="26"/>
          <w:szCs w:val="26"/>
        </w:rPr>
        <w:t xml:space="preserve">4.3 GDPR and CCPA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Regulation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Guttenberg Implementation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GDPR Art. 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Right to Erasure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Account deletion triggers: all manuscript files deleted from S3 within 24 hours, all distribution records anonymized, financial records retained per tax law (7 years) in anonymized form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GDPR Art. 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Portability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Export endpoint returns full author data package: all title metadata, sales history, and manuscript files as a ZIP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GDPR Art. 13-14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Privacy Notice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Privacy notice displayed at account creation; data processing purposes documented per Art. 13 requirements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CCPA §1798.100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Right to Know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inventory endpoint lists all personal data categories held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CCPA §1798.105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Right to Delete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as GDPR Art. 17 — unified deletion workflow</w:t>
            </w:r>
          </w:p>
        </w:tc>
      </w:tr>
    </w:tbl>
    <w:p>
      <w:r>
        <w:br w:type="page"/>
      </w:r>
    </w:p>
    <w:p>
      <w:pPr>
        <w:pStyle w:val="Heading1"/>
        <w:spacing w:before="360" w:after="120"/>
      </w:pPr>
      <w:r>
        <w:rPr>
          <w:rFonts w:ascii="Arial" w:cs="Arial" w:eastAsia="Arial" w:hAnsi="Arial"/>
          <w:b/>
          <w:bCs/>
          <w:color w:val="1B3A5C"/>
          <w:sz w:val="32"/>
          <w:szCs w:val="32"/>
        </w:rPr>
        <w:t xml:space="preserve">5. Error Handling and Notification Design</w:t>
      </w:r>
    </w:p>
    <w:p>
      <w:pPr>
        <w:pStyle w:val="Heading2"/>
        <w:spacing w:before="240" w:after="80"/>
      </w:pPr>
      <w:r>
        <w:rPr>
          <w:rFonts w:ascii="Arial" w:cs="Arial" w:eastAsia="Arial" w:hAnsi="Arial"/>
          <w:b/>
          <w:bCs/>
          <w:color w:val="1B3A5C"/>
          <w:sz w:val="26"/>
          <w:szCs w:val="26"/>
        </w:rPr>
        <w:t xml:space="preserve">5.1 Error Response Standards</w:t>
      </w:r>
    </w:p>
    <w:p>
      <w:pPr>
        <w:spacing w:before="80" w:after="80"/>
      </w:pPr>
      <w:r>
        <w:rPr>
          <w:rFonts w:ascii="Arial" w:cs="Arial" w:eastAsia="Arial" w:hAnsi="Arial"/>
          <w:sz w:val="20"/>
          <w:szCs w:val="20"/>
        </w:rPr>
        <w:t xml:space="preserve">All API endpoints return errors in a standardized JSON envelope:</w:t>
      </w:r>
    </w:p>
    <w:p>
      <w:pPr>
        <w:shd w:fill="F0F0F0" w:val="clear"/>
        <w:spacing w:before="40" w:after="40"/>
      </w:pPr>
      <w:r>
        <w:rPr>
          <w:rFonts w:ascii="Courier New" w:cs="Courier New" w:eastAsia="Courier New" w:hAnsi="Courier New"/>
          <w:color w:val="333333"/>
          <w:sz w:val="18"/>
          <w:szCs w:val="18"/>
        </w:rPr>
        <w:t xml:space="preserve">{ "error": { "code": "GUT-4001", "message": "Cover resolution insufficient for print", "detail": "Minimum 300 DPI required; uploaded file is 72 DPI", "resolution": "Re-upload cover at 300 DPI or higher", "docs_url": "https://docs.guttenberg.io/covers/print-requirements" } }</w:t>
      </w:r>
    </w:p>
    <w:p>
      <w:pPr>
        <w:spacing w:before="120" w:after="120"/>
      </w:pPr>
      <w:r>
        <w:t xml:space="preserve"/>
      </w:r>
    </w:p>
    <w:p>
      <w:pPr>
        <w:spacing w:before="80" w:after="80"/>
      </w:pPr>
      <w:r>
        <w:rPr>
          <w:rFonts w:ascii="Arial" w:cs="Arial" w:eastAsia="Arial" w:hAnsi="Arial"/>
          <w:sz w:val="20"/>
          <w:szCs w:val="20"/>
        </w:rPr>
        <w:t xml:space="preserve">Error codes follow the pattern GUT-XXXX where: 4xxx = client errors (author action required), 5xxx = system errors (platform team alerted), 6xxx = external channel errors (channel-specific information provided).</w:t>
      </w:r>
    </w:p>
    <w:p>
      <w:pPr>
        <w:spacing w:before="120" w:after="120"/>
      </w:pPr>
      <w:r>
        <w:t xml:space="preserve"/>
      </w:r>
    </w:p>
    <w:p>
      <w:pPr>
        <w:pStyle w:val="Heading2"/>
        <w:spacing w:before="240" w:after="80"/>
      </w:pPr>
      <w:r>
        <w:rPr>
          <w:rFonts w:ascii="Arial" w:cs="Arial" w:eastAsia="Arial" w:hAnsi="Arial"/>
          <w:b/>
          <w:bCs/>
          <w:color w:val="1B3A5C"/>
          <w:sz w:val="26"/>
          <w:szCs w:val="26"/>
        </w:rPr>
        <w:t xml:space="preserve">5.2 Notification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000"/>
        <w:gridCol w:w="2660"/>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In-App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Email</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Push (Mobile)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submission accepted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went LIVE on channel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REJECTED by channel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(with resolution steps)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Format job completed successfully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Format job failed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(with error summary)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Royalty disbursement completed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 milestone reached (50, 100, 500, 1000 units)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 campaign ending in 3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ISBN registration confirmed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Scrybe review posted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(Scrybe handles)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bl>
    <w:p>
      <w:r>
        <w:br w:type="page"/>
      </w:r>
    </w:p>
    <w:p>
      <w:pPr>
        <w:pStyle w:val="Heading1"/>
        <w:spacing w:before="360" w:after="120"/>
      </w:pPr>
      <w:r>
        <w:rPr>
          <w:rFonts w:ascii="Arial" w:cs="Arial" w:eastAsia="Arial" w:hAnsi="Arial"/>
          <w:b/>
          <w:bCs/>
          <w:color w:val="1B3A5C"/>
          <w:sz w:val="32"/>
          <w:szCs w:val="32"/>
        </w:rPr>
        <w:t xml:space="preserve">6. Subscription Tier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500"/>
        <w:gridCol w:w="1700"/>
        <w:gridCol w:w="22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Starter (Free)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Author ($19/mo)</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Publisher ($59/mo)</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Enterprise (Custom)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Titles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active title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ISBNs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Purchase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included/yr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included/yr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 block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Distribution Channels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Amazon + 1 other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channels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channels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channels + custom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Interior Templates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templates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templates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templates + custom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 branded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Cover Designer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Basic (no stock photos)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access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access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White-label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Marketing Tools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 page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suite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suite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 domain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 to 10 reviewers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Analytics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Basic (units/revenue)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analytics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 benchmarking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 dashboards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Team Members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(author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 to 5</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 + RBAC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Synopsis Generator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per title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per month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Narration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included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 per project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hours included/mo</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Store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included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Included (3% fee)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Included (2% fee)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Included (1.5% fee)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Refinery Integration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Import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two-way sync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two-way sync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two-way sync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included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included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Read-only API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REST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 forum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(48hr SLA)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Priority email (24hr)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Dedicated CSM</w:t>
            </w:r>
          </w:p>
        </w:tc>
      </w:tr>
    </w:tbl>
    <w:p>
      <w:r>
        <w:br w:type="page"/>
      </w:r>
    </w:p>
    <w:p>
      <w:pPr>
        <w:pStyle w:val="Heading1"/>
        <w:spacing w:before="360" w:after="120"/>
      </w:pPr>
      <w:r>
        <w:rPr>
          <w:rFonts w:ascii="Arial" w:cs="Arial" w:eastAsia="Arial" w:hAnsi="Arial"/>
          <w:b/>
          <w:bCs/>
          <w:color w:val="1B3A5C"/>
          <w:sz w:val="32"/>
          <w:szCs w:val="32"/>
        </w:rPr>
        <w:t xml:space="preserve">7.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Change 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February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Auditor's Forge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Initial release — full functional design</w:t>
            </w:r>
          </w:p>
        </w:tc>
      </w:tr>
    </w:tbl>
    <w:p>
      <w:pPr>
        <w:spacing w:before="120" w:after="120"/>
      </w:pPr>
      <w:r>
        <w:t xml:space="preserve"/>
      </w:r>
    </w:p>
    <w:p>
      <w:pPr>
        <w:spacing w:before="480"/>
        <w:jc w:val="center"/>
      </w:pPr>
      <w:r>
        <w:rPr>
          <w:rFonts w:ascii="Arial" w:cs="Arial" w:eastAsia="Arial" w:hAnsi="Arial"/>
          <w:i/>
          <w:iCs/>
          <w:color w:val="666666"/>
          <w:sz w:val="20"/>
          <w:szCs w:val="20"/>
        </w:rPr>
        <w:t xml:space="preserve">— End of Functional Design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6" w:space="1"/>
      </w:pBdr>
      <w:tabs>
        <w:tab w:val="right" w:pos="9026"/>
      </w:tabs>
    </w:pPr>
    <w:r>
      <w:rPr>
        <w:rFonts w:ascii="Arial" w:cs="Arial" w:eastAsia="Arial" w:hAnsi="Arial"/>
        <w:color w:val="666666"/>
        <w:sz w:val="16"/>
        <w:szCs w:val="16"/>
      </w:rPr>
      <w:t xml:space="preserve">Confidential — The Auditor's Forge  |  v1.0  |  2026</w:t>
    </w:r>
    <w:r>
      <w:rPr>
        <w:rFonts w:ascii="Arial" w:cs="Arial" w:eastAsia="Arial" w:hAnsi="Arial"/>
        <w:color w:val="666666"/>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spacing w:after="80"/>
    </w:pPr>
    <w:r>
      <w:rPr>
        <w:rFonts w:ascii="Arial" w:cs="Arial" w:eastAsia="Arial" w:hAnsi="Arial"/>
        <w:b/>
        <w:bCs/>
        <w:color w:val="1B3A5C"/>
        <w:sz w:val="18"/>
        <w:szCs w:val="18"/>
      </w:rPr>
      <w:t xml:space="preserve">MASTER PROSE PLATFORM  |  Guttenberg Self-Publishing Application</w:t>
    </w:r>
    <w:r>
      <w:rPr>
        <w:rFonts w:ascii="Arial" w:cs="Arial" w:eastAsia="Arial" w:hAnsi="Arial"/>
        <w:color w:val="666666"/>
        <w:sz w:val="18"/>
        <w:szCs w:val="18"/>
      </w:rPr>
      <w:t xml:space="preserve">  |  Functional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2026-02-26T01:33:53.682Z</dcterms:created>
  <dcterms:modified xsi:type="dcterms:W3CDTF">2026-02-26T01:33:53.683Z</dcterms:modified>
</cp:coreProperties>
</file>

<file path=docProps/custom.xml><?xml version="1.0" encoding="utf-8"?>
<Properties xmlns="http://schemas.openxmlformats.org/officeDocument/2006/custom-properties" xmlns:vt="http://schemas.openxmlformats.org/officeDocument/2006/docPropsVTypes"/>
</file>