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 w:after="140"/>
        <w:jc w:val="center"/>
      </w:pPr>
      <w:r>
        <w:rPr>
          <w:b/>
          <w:color w:val="0B3A5E"/>
          <w:sz w:val="32"/>
        </w:rPr>
        <w:t>NOTA DE INTELIGENCIA DE CONNOTACIÓN N.° 002-2026</w:t>
      </w:r>
    </w:p>
    <w:p>
      <w:pPr>
        <w:spacing w:after="120"/>
        <w:jc w:val="center"/>
      </w:pPr>
      <w:r>
        <w:rPr>
          <w:b/>
          <w:color w:val="B45A0F"/>
          <w:sz w:val="17"/>
        </w:rPr>
        <w:t>INTELIGENCIA DE CONTEXTO · NO ESTADÍSTICO · INFORMACIÓN EN DESARROLLO</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6"/>
              </w:rPr>
              <w:t>ASUNTO</w:t>
            </w:r>
          </w:p>
        </w:tc>
        <w:tc>
          <w:tcPr>
            <w:tcW w:type="dxa" w:w="5184"/>
            <w:vAlign w:val="center"/>
          </w:tcPr>
          <w:p>
            <w:r>
              <w:rPr>
                <w:sz w:val="16"/>
              </w:rPr>
              <w:t>Captura en Bolivia de objetivo de alto valor vinculado a “Los Pulpos” y posibles implicancias para el escenario criminal de La Libertad.</w:t>
            </w:r>
          </w:p>
        </w:tc>
      </w:tr>
      <w:tr>
        <w:tc>
          <w:tcPr>
            <w:tcW w:type="dxa" w:w="5184"/>
            <w:vAlign w:val="center"/>
          </w:tcPr>
          <w:p>
            <w:r>
              <w:rPr>
                <w:b/>
                <w:sz w:val="16"/>
              </w:rPr>
              <w:t>FECHA DE CORTE</w:t>
            </w:r>
          </w:p>
        </w:tc>
        <w:tc>
          <w:tcPr>
            <w:tcW w:type="dxa" w:w="5184"/>
            <w:vAlign w:val="center"/>
          </w:tcPr>
          <w:p>
            <w:r>
              <w:rPr>
                <w:sz w:val="16"/>
              </w:rPr>
              <w:t>1 de septiembre de 2026 – información abierta disponible al momento de elaboración.</w:t>
            </w:r>
          </w:p>
        </w:tc>
      </w:tr>
      <w:tr>
        <w:tc>
          <w:tcPr>
            <w:tcW w:type="dxa" w:w="5184"/>
            <w:vAlign w:val="center"/>
          </w:tcPr>
          <w:p>
            <w:r>
              <w:rPr>
                <w:b/>
                <w:sz w:val="16"/>
              </w:rPr>
              <w:t>ÁMBITO</w:t>
            </w:r>
          </w:p>
        </w:tc>
        <w:tc>
          <w:tcPr>
            <w:tcW w:type="dxa" w:w="5184"/>
            <w:vAlign w:val="center"/>
          </w:tcPr>
          <w:p>
            <w:r>
              <w:rPr>
                <w:sz w:val="16"/>
              </w:rPr>
              <w:t>Trujillo · Región La Libertad · dimensión transnacional.</w:t>
            </w:r>
          </w:p>
        </w:tc>
      </w:tr>
      <w:tr>
        <w:tc>
          <w:tcPr>
            <w:tcW w:type="dxa" w:w="5184"/>
            <w:vAlign w:val="center"/>
          </w:tcPr>
          <w:p>
            <w:r>
              <w:rPr>
                <w:b/>
                <w:sz w:val="16"/>
              </w:rPr>
              <w:t>NIVEL DE CONNOTACIÓN</w:t>
            </w:r>
          </w:p>
        </w:tc>
        <w:tc>
          <w:tcPr>
            <w:tcW w:type="dxa" w:w="5184"/>
            <w:vAlign w:val="center"/>
          </w:tcPr>
          <w:p>
            <w:r>
              <w:rPr>
                <w:sz w:val="16"/>
              </w:rPr>
              <w:t>EVENTO CRÍTICO – seguimiento prioritario.</w:t>
            </w:r>
          </w:p>
        </w:tc>
      </w:tr>
      <w:tr>
        <w:tc>
          <w:tcPr>
            <w:tcW w:type="dxa" w:w="5184"/>
            <w:vAlign w:val="center"/>
          </w:tcPr>
          <w:p>
            <w:r>
              <w:rPr>
                <w:b/>
                <w:sz w:val="16"/>
              </w:rPr>
              <w:t>NATURALEZA</w:t>
            </w:r>
          </w:p>
        </w:tc>
        <w:tc>
          <w:tcPr>
            <w:tcW w:type="dxa" w:w="5184"/>
            <w:vAlign w:val="center"/>
          </w:tcPr>
          <w:p>
            <w:r>
              <w:rPr>
                <w:sz w:val="16"/>
              </w:rPr>
              <w:t>Inteligencia de contexto. NO constituye consolidación estadística oficial.</w:t>
            </w:r>
          </w:p>
        </w:tc>
      </w:tr>
    </w:tbl>
    <w:p>
      <w:pPr>
        <w:spacing w:before="140" w:after="80"/>
        <w:shd w:fill="0B3A5E"/>
        <w:ind w:left="90" w:right="90"/>
      </w:pPr>
      <w:r>
        <w:rPr>
          <w:b/>
          <w:color w:val="FFFFFF"/>
          <w:sz w:val="21"/>
        </w:rPr>
        <w:t>1. SITUACIÓN</w:t>
      </w:r>
    </w:p>
    <w:p>
      <w:pPr>
        <w:spacing w:after="40" w:line="240" w:lineRule="auto"/>
        <w:jc w:val="both"/>
      </w:pPr>
      <w:r>
        <w:t>El 1 de septiembre de 2026 fue confirmada en La Paz, Bolivia, la captura de Jhonsson Smit Cruz Torres, alias “Jhonsson Pulpo”, señalado por las autoridades como uno de los principales cabecillas de la organización criminal “Los Pulpos”. La intervención fue resultado de coordinación internacional y constituye un hecho de alta relevancia para La Libertad por el liderazgo atribuido al detenido y por la incidencia histórica de dicha estructura en Trujillo.</w:t>
      </w:r>
    </w:p>
    <w:p>
      <w:pPr>
        <w:spacing w:before="140" w:after="80"/>
        <w:shd w:fill="0B3A5E"/>
        <w:ind w:left="90" w:right="90"/>
      </w:pPr>
      <w:r>
        <w:rPr>
          <w:b/>
          <w:color w:val="FFFFFF"/>
          <w:sz w:val="21"/>
        </w:rPr>
        <w:t>2. ACTUALIZACIÓN OPERACIONAL</w:t>
      </w:r>
    </w:p>
    <w:p>
      <w:pPr>
        <w:spacing w:after="40" w:line="240" w:lineRule="auto"/>
        <w:jc w:val="both"/>
      </w:pPr>
      <w:r>
        <w:t>La captura se produce inmediatamente después del secuestro del empresario Jenss Marty Lara Tantaquilla y el asesinato de sus cuatro acompañantes, ocurrido el 30 de agosto en Trujillo. La Policía Nacional informó la captura de cinco presuntos implicados que pertenecerían a “Los Pulpos”; asimismo, fuentes oficiales y abiertas mantienen investigaciones para establecer autores materiales e intelectuales y el grado de participación de cada integrante. La captura internacional no implica, por sí sola, la desarticulación de la organización.</w:t>
      </w:r>
    </w:p>
    <w:p>
      <w:pPr>
        <w:spacing w:before="140" w:after="80"/>
        <w:shd w:fill="0B3A5E"/>
        <w:ind w:left="90" w:right="90"/>
      </w:pPr>
      <w:r>
        <w:rPr>
          <w:b/>
          <w:color w:val="FFFFFF"/>
          <w:sz w:val="21"/>
        </w:rPr>
        <w:t>3. ELEMENTOS DE CONNOTACIÓN ESTRATÉGICA</w:t>
      </w:r>
    </w:p>
    <w:p>
      <w:pPr>
        <w:spacing w:after="40"/>
        <w:ind w:left="259"/>
      </w:pPr>
      <w:r>
        <w:rPr>
          <w:b/>
        </w:rPr>
        <w:t>• Captura internacional de un objetivo considerado de alto valor regional.</w:t>
      </w:r>
      <w:r/>
    </w:p>
    <w:p>
      <w:pPr>
        <w:spacing w:after="40"/>
        <w:ind w:left="259"/>
      </w:pPr>
      <w:r>
        <w:rPr>
          <w:b/>
        </w:rPr>
        <w:t>• Proximidad temporal con el secuestro y homicidio múltiple del 30 de agosto en Trujillo.</w:t>
      </w:r>
      <w:r/>
    </w:p>
    <w:p>
      <w:pPr>
        <w:spacing w:after="40"/>
        <w:ind w:left="259"/>
      </w:pPr>
      <w:r>
        <w:rPr>
          <w:b/>
        </w:rPr>
        <w:t>• Presunta vinculación de integrantes de “Los Pulpos” con el evento, conforme a la línea de investigación policial.</w:t>
      </w:r>
      <w:r/>
    </w:p>
    <w:p>
      <w:pPr>
        <w:spacing w:after="40"/>
        <w:ind w:left="259"/>
      </w:pPr>
      <w:r>
        <w:rPr>
          <w:b/>
        </w:rPr>
        <w:t>• Organización con capacidad atribuida para extorsión, secuestro, sicariato y empleo de explosivos.</w:t>
      </w:r>
      <w:r/>
    </w:p>
    <w:p>
      <w:pPr>
        <w:spacing w:after="40"/>
        <w:ind w:left="259"/>
      </w:pPr>
      <w:r>
        <w:rPr>
          <w:b/>
        </w:rPr>
        <w:t>• Posible afectación de capacidades de dirección, coordinación, financiamiento y articulación criminal.</w:t>
      </w:r>
      <w:r/>
    </w:p>
    <w:p>
      <w:pPr>
        <w:spacing w:after="40"/>
        <w:ind w:left="259"/>
      </w:pPr>
      <w:r>
        <w:rPr>
          <w:b/>
        </w:rPr>
        <w:t>• Riesgo de reacomodo de mandos, fragmentación de células o desplazamiento territorial de integrantes.</w:t>
      </w:r>
      <w:r/>
    </w:p>
    <w:p>
      <w:pPr>
        <w:spacing w:after="40"/>
        <w:ind w:left="259"/>
      </w:pPr>
      <w:r>
        <w:rPr>
          <w:b/>
        </w:rPr>
        <w:t>• Elevada repercusión regional, nacional e internacional y fortalecimiento de la cooperación policial transnacional.</w:t>
      </w:r>
      <w:r/>
    </w:p>
    <w:p>
      <w:pPr>
        <w:spacing w:before="140" w:after="80"/>
        <w:shd w:fill="0B3A5E"/>
        <w:ind w:left="90" w:right="90"/>
      </w:pPr>
      <w:r>
        <w:rPr>
          <w:b/>
          <w:color w:val="FFFFFF"/>
          <w:sz w:val="21"/>
        </w:rPr>
        <w:t>4. APRECIACIÓN DE INTELIGENCIA</w:t>
      </w:r>
    </w:p>
    <w:p>
      <w:pPr>
        <w:spacing w:after="40" w:line="240" w:lineRule="auto"/>
        <w:jc w:val="both"/>
      </w:pPr>
      <w:r>
        <w:t>La captura constituye un golpe operativo de significativa importancia, pero su impacto real deberá evaluarse a partir de los efectos posteriores sobre la estructura criminal. La pérdida o neutralización de un liderazgo puede reducir temporalmente capacidades de coordinación; también puede generar sucesión de mandos, mayor autonomía de células, fragmentación o competencia por rentas ilícitas y espacios territoriales.</w:t>
      </w:r>
    </w:p>
    <w:p>
      <w:pPr>
        <w:spacing w:after="40" w:line="240" w:lineRule="auto"/>
        <w:jc w:val="both"/>
      </w:pPr>
      <w:r>
        <w:t>ORSEC considera que la secuencia 30 de agosto–1 de septiembre debe mantenerse bajo seguimiento intensivo. La eventual relación entre ambos acontecimientos incrementa su connotación estratégica, pero no debe convertirse en una atribución automática de responsabilidad individual. Estadística y contexto deben continuar metodológicamente separados: una captura de alto valor puede modificar el escenario criminal sin producir de inmediato una variación observable en los indicadores acumulados.</w:t>
      </w:r>
    </w:p>
    <w:p>
      <w:pPr>
        <w:spacing w:before="140" w:after="80"/>
        <w:shd w:fill="0B3A5E"/>
        <w:ind w:left="90" w:right="90"/>
      </w:pPr>
      <w:r>
        <w:rPr>
          <w:b/>
          <w:color w:val="FFFFFF"/>
          <w:sz w:val="21"/>
        </w:rPr>
        <w:t>5. ESCENARIOS DE EVOLUCIÓN – EN EVALUACIÓN</w:t>
      </w:r>
    </w:p>
    <w:p>
      <w:pPr>
        <w:spacing w:after="40" w:line="240" w:lineRule="auto"/>
        <w:jc w:val="both"/>
      </w:pPr>
      <w:r>
        <w:t>Escenario de contención operativa: nuevas capturas y pérdida de coordinación reducen temporalmente la capacidad de la estructura. Escenario de reacomodo: mandos secundarios mantienen las actividades ilícitas con cambios en modalidades o territorios. Escenario de fragmentación y disputa: células asociadas compiten por liderazgo, rentas o control territorial, elevando el riesgo de violencia focalizada. Estos escenarios constituyen hipótesis de seguimiento y no hechos confirmados.</w:t>
      </w:r>
    </w:p>
    <w:p>
      <w:pPr>
        <w:spacing w:before="140" w:after="80"/>
        <w:shd w:fill="0B3A5E"/>
        <w:ind w:left="90" w:right="90"/>
      </w:pPr>
      <w:r>
        <w:rPr>
          <w:b/>
          <w:color w:val="FFFFFF"/>
          <w:sz w:val="21"/>
        </w:rPr>
        <w:t>6. INDICADORES DE SEGUIMIENTO</w:t>
      </w:r>
    </w:p>
    <w:p>
      <w:pPr>
        <w:spacing w:after="40" w:line="240" w:lineRule="auto"/>
        <w:jc w:val="both"/>
      </w:pPr>
      <w:r>
        <w:t>ORSEC deberá observar prioritariamente: evolución semanal y mensual de homicidios, extorsiones, detonaciones y secuestros; nuevas capturas de integrantes o mandos; resultados de las investigaciones del evento del 30 de agosto; información oficial sobre traslado y situación jurídica del detenido; posibles disputas o reacomodos internos; desplazamientos territoriales; cambios en modalidades extorsivas; y resultados de operaciones policiales derivadas de la cooperación internacional.</w:t>
      </w:r>
    </w:p>
    <w:p>
      <w:pPr>
        <w:spacing w:before="140" w:after="80"/>
        <w:shd w:fill="0B3A5E"/>
        <w:ind w:left="90" w:right="90"/>
      </w:pPr>
      <w:r>
        <w:rPr>
          <w:b/>
          <w:color w:val="FFFFFF"/>
          <w:sz w:val="21"/>
        </w:rPr>
        <w:t>7. VALORACIÓN ORSEC</w:t>
      </w:r>
    </w:p>
    <w:tbl>
      <w:tblPr>
        <w:tblStyle w:val="TableGrid"/>
        <w:tblW w:type="auto" w:w="0"/>
        <w:jc w:val="center"/>
        <w:tblLook w:firstColumn="1" w:firstRow="1" w:lastColumn="0" w:lastRow="0" w:noHBand="0" w:noVBand="1" w:val="04A0"/>
      </w:tblPr>
      <w:tblGrid>
        <w:gridCol w:w="5184"/>
        <w:gridCol w:w="5184"/>
      </w:tblGrid>
      <w:tr>
        <w:tc>
          <w:tcPr>
            <w:tcW w:type="dxa" w:w="5184"/>
            <w:vAlign w:val="center"/>
          </w:tcPr>
          <w:p>
            <w:r>
              <w:rPr>
                <w:b/>
                <w:sz w:val="16"/>
              </w:rPr>
              <w:t>Tendencia estadística</w:t>
            </w:r>
          </w:p>
        </w:tc>
        <w:tc>
          <w:tcPr>
            <w:tcW w:type="dxa" w:w="5184"/>
            <w:vAlign w:val="center"/>
          </w:tcPr>
          <w:p>
            <w:r>
              <w:rPr>
                <w:sz w:val="16"/>
              </w:rPr>
              <w:t>Debe mantenerse conforme a la base oficial consolidada.</w:t>
            </w:r>
          </w:p>
        </w:tc>
      </w:tr>
      <w:tr>
        <w:tc>
          <w:tcPr>
            <w:tcW w:type="dxa" w:w="5184"/>
            <w:vAlign w:val="center"/>
          </w:tcPr>
          <w:p>
            <w:r>
              <w:rPr>
                <w:b/>
                <w:sz w:val="16"/>
              </w:rPr>
              <w:t>Connotación estratégica</w:t>
            </w:r>
          </w:p>
        </w:tc>
        <w:tc>
          <w:tcPr>
            <w:tcW w:type="dxa" w:w="5184"/>
            <w:vAlign w:val="center"/>
          </w:tcPr>
          <w:p>
            <w:r>
              <w:rPr>
                <w:b/>
                <w:color w:val="C00000"/>
                <w:sz w:val="16"/>
              </w:rPr>
              <w:t>CRÍTICA.</w:t>
            </w:r>
          </w:p>
        </w:tc>
      </w:tr>
      <w:tr>
        <w:tc>
          <w:tcPr>
            <w:tcW w:type="dxa" w:w="5184"/>
            <w:vAlign w:val="center"/>
          </w:tcPr>
          <w:p>
            <w:r>
              <w:rPr>
                <w:b/>
                <w:sz w:val="16"/>
              </w:rPr>
              <w:t>Atención coyuntural</w:t>
            </w:r>
          </w:p>
        </w:tc>
        <w:tc>
          <w:tcPr>
            <w:tcW w:type="dxa" w:w="5184"/>
            <w:vAlign w:val="center"/>
          </w:tcPr>
          <w:p>
            <w:r>
              <w:rPr>
                <w:b/>
                <w:color w:val="C00000"/>
                <w:sz w:val="16"/>
              </w:rPr>
              <w:t>PRIORITARIA.</w:t>
            </w:r>
          </w:p>
        </w:tc>
      </w:tr>
      <w:tr>
        <w:tc>
          <w:tcPr>
            <w:tcW w:type="dxa" w:w="5184"/>
            <w:vAlign w:val="center"/>
          </w:tcPr>
          <w:p>
            <w:r>
              <w:rPr>
                <w:b/>
                <w:sz w:val="16"/>
              </w:rPr>
              <w:t>Estado de la información</w:t>
            </w:r>
          </w:p>
        </w:tc>
        <w:tc>
          <w:tcPr>
            <w:tcW w:type="dxa" w:w="5184"/>
            <w:vAlign w:val="center"/>
          </w:tcPr>
          <w:p>
            <w:r>
              <w:rPr>
                <w:b/>
                <w:color w:val="C00000"/>
                <w:sz w:val="16"/>
              </w:rPr>
              <w:t>EN DESARROLLO / SUJETA A ACTUALIZACIÓN.</w:t>
            </w:r>
          </w:p>
        </w:tc>
      </w:tr>
    </w:tbl>
    <w:p>
      <w:pPr>
        <w:spacing w:before="140" w:after="80"/>
        <w:shd w:fill="0B3A5E"/>
        <w:ind w:left="90" w:right="90"/>
      </w:pPr>
      <w:r>
        <w:rPr>
          <w:b/>
          <w:color w:val="FFFFFF"/>
          <w:sz w:val="21"/>
        </w:rPr>
        <w:t>8. CONCLUSIÓN EJECUTIVA</w:t>
      </w:r>
    </w:p>
    <w:p>
      <w:pPr>
        <w:spacing w:after="40" w:line="240" w:lineRule="auto"/>
        <w:jc w:val="both"/>
      </w:pPr>
      <w:r>
        <w:t>La captura de alias “Jhonsson Pulpo” representa un golpe estratégico contra una estructura criminal de alta connotación para La Libertad. Su verdadero efecto deberá medirse por la evolución posterior de la violencia, las extorsiones, detonaciones, secuestros, nuevas capturas y capacidad de reorganización de “Los Pulpos”. La relación con el evento del 30 de agosto permanece dentro del ámbito de investigación y debe actualizarse únicamente con información oficial verificable.</w:t>
      </w:r>
    </w:p>
    <w:p>
      <w:pPr>
        <w:jc w:val="center"/>
      </w:pPr>
      <w:r>
        <w:rPr>
          <w:b/>
          <w:color w:val="B42823"/>
        </w:rPr>
        <w:t>SEPARACIÓN METODOLÓGICA ORSEC</w:t>
        <w:br/>
      </w:r>
      <w:r>
        <w:rPr>
          <w:b/>
          <w:sz w:val="18"/>
        </w:rPr>
        <w:t>ESTADÍSTICA OFICIAL = incidencia consolidada  |  CONNOTACIÓN = trascendencia estratégica del acontecimiento</w:t>
      </w:r>
    </w:p>
    <w:p>
      <w:pPr>
        <w:spacing w:before="140" w:after="80"/>
        <w:shd w:fill="0B3A5E"/>
        <w:ind w:left="90" w:right="90"/>
      </w:pPr>
      <w:r>
        <w:rPr>
          <w:b/>
          <w:color w:val="FFFFFF"/>
          <w:sz w:val="21"/>
        </w:rPr>
        <w:t>FUENTES ABIERTAS CONSULTADAS</w:t>
      </w:r>
    </w:p>
    <w:p>
      <w:pPr>
        <w:spacing w:after="40"/>
        <w:ind w:left="259"/>
      </w:pPr>
      <w:r>
        <w:t>• RPP, 31/08/2026: Policía informó la captura de cinco presuntos implicados en el secuestro de Jenss Lara Tantaquilla y asesinato de cuatro acompañantes; los detenidos pertenecerían a “Los Pulpos”.</w:t>
      </w:r>
      <w:r/>
    </w:p>
    <w:p>
      <w:pPr>
        <w:spacing w:after="40"/>
        <w:ind w:left="259"/>
      </w:pPr>
      <w:r>
        <w:t>• RPP / fuentes policiales, 31/08/2026: principal línea de investigación sobre la posible participación de integrantes de “Los Pulpos” en el secuestro y homicidio múltiple de Trujillo.</w:t>
      </w:r>
      <w:r/>
    </w:p>
    <w:p>
      <w:pPr>
        <w:spacing w:after="40"/>
        <w:ind w:left="259"/>
      </w:pPr>
      <w:r>
        <w:t>• Información pública del 01/09/2026 sobre la captura de Jhonsson Smit Cruz Torres en La Paz, Bolivia, mediante coordinación internacional; autoridades lo identifican como objetivo de alto valor vinculado a “Los Pulpos”.</w:t>
      </w:r>
      <w:r/>
    </w:p>
    <w:p>
      <w:pPr>
        <w:spacing w:before="160" w:after="40"/>
      </w:pPr>
      <w:r>
        <w:rPr>
          <w:b/>
        </w:rPr>
        <w:t>Elaborado: ORSEC / GRDN / GORELL</w:t>
        <w:br/>
        <w:t>Documento de análisis de contexto para apoyo a la toma de decisiones. No reemplaza partes, atestados, investigaciones fiscales, resoluciones judiciales ni registros estadísticos oficiales.</w:t>
      </w:r>
      <w:r/>
    </w:p>
    <w:sectPr w:rsidR="00FC693F" w:rsidRPr="0006063C" w:rsidSect="00034616">
      <w:headerReference w:type="default" r:id="rId9"/>
      <w:footerReference w:type="default" r:id="rId10"/>
      <w:pgSz w:w="12240" w:h="15840"/>
      <w:pgMar w:top="648"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506978"/>
        <w:sz w:val="15"/>
      </w:rPr>
      <w:t>ORSEC / GRDN / GORELL  ·  INTELIGENCIA DE CONTEXTO  ·  DOCUMENTO DE APOYO A LA DECISIÓN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1800"/>
      <w:gridCol w:w="6768"/>
      <w:gridCol w:w="1800"/>
    </w:tblGrid>
    <w:tr>
      <w:tc>
        <w:tcPr>
          <w:tcW w:type="dxa" w:w="3456"/>
          <w:vAlign w:val="center"/>
          <w:shd w:fill="0B3A5E"/>
        </w:tcPr>
        <w:p>
          <w:pPr>
            <w:jc w:val="center"/>
          </w:pPr>
          <w:r>
            <w:drawing>
              <wp:inline xmlns:a="http://schemas.openxmlformats.org/drawingml/2006/main" xmlns:pic="http://schemas.openxmlformats.org/drawingml/2006/picture">
                <wp:extent cx="566928" cy="566928"/>
                <wp:docPr id="1" name="Picture 1"/>
                <wp:cNvGraphicFramePr>
                  <a:graphicFrameLocks noChangeAspect="1"/>
                </wp:cNvGraphicFramePr>
                <a:graphic>
                  <a:graphicData uri="http://schemas.openxmlformats.org/drawingml/2006/picture">
                    <pic:pic>
                      <pic:nvPicPr>
                        <pic:cNvPr id="0" name="0d9359c4-d063-4b7a-8d64-8054abcd91a6.png"/>
                        <pic:cNvPicPr/>
                      </pic:nvPicPr>
                      <pic:blipFill>
                        <a:blip r:embed="rId1"/>
                        <a:stretch>
                          <a:fillRect/>
                        </a:stretch>
                      </pic:blipFill>
                      <pic:spPr>
                        <a:xfrm>
                          <a:off x="0" y="0"/>
                          <a:ext cx="566928" cy="566928"/>
                        </a:xfrm>
                        <a:prstGeom prst="rect"/>
                      </pic:spPr>
                    </pic:pic>
                  </a:graphicData>
                </a:graphic>
              </wp:inline>
            </w:drawing>
          </w:r>
        </w:p>
      </w:tc>
      <w:tc>
        <w:tcPr>
          <w:tcW w:type="dxa" w:w="3456"/>
          <w:vAlign w:val="center"/>
          <w:shd w:fill="0B3A5E"/>
        </w:tcPr>
        <w:p>
          <w:pPr>
            <w:jc w:val="center"/>
          </w:pPr>
          <w:r>
            <w:rPr>
              <w:b/>
              <w:color w:val="FFFFFF"/>
              <w:sz w:val="34"/>
            </w:rPr>
            <w:t>ORSEC</w:t>
            <w:br/>
          </w:r>
          <w:r>
            <w:rPr>
              <w:b/>
              <w:color w:val="C8E1F0"/>
              <w:sz w:val="17"/>
            </w:rPr>
            <w:t>CENTRO DE INTELIGENCIA · REGIÓN LA LIBERTAD</w:t>
          </w:r>
        </w:p>
      </w:tc>
      <w:tc>
        <w:tcPr>
          <w:tcW w:type="dxa" w:w="3456"/>
          <w:vAlign w:val="center"/>
          <w:shd w:fill="0B3A5E"/>
        </w:tcPr>
        <w:p>
          <w:pPr>
            <w:jc w:val="center"/>
          </w:pPr>
          <w:r>
            <w:drawing>
              <wp:inline xmlns:a="http://schemas.openxmlformats.org/drawingml/2006/main" xmlns:pic="http://schemas.openxmlformats.org/drawingml/2006/picture">
                <wp:extent cx="685800" cy="434051"/>
                <wp:docPr id="2" name="Picture 2"/>
                <wp:cNvGraphicFramePr>
                  <a:graphicFrameLocks noChangeAspect="1"/>
                </wp:cNvGraphicFramePr>
                <a:graphic>
                  <a:graphicData uri="http://schemas.openxmlformats.org/drawingml/2006/picture">
                    <pic:pic>
                      <pic:nvPicPr>
                        <pic:cNvPr id="0" name="dfba63a1-ba61-4bd0-a787-84c7fcdf520d.png"/>
                        <pic:cNvPicPr/>
                      </pic:nvPicPr>
                      <pic:blipFill>
                        <a:blip r:embed="rId2"/>
                        <a:stretch>
                          <a:fillRect/>
                        </a:stretch>
                      </pic:blipFill>
                      <pic:spPr>
                        <a:xfrm>
                          <a:off x="0" y="0"/>
                          <a:ext cx="685800" cy="434051"/>
                        </a:xfrm>
                        <a:prstGeom prst="rect"/>
                      </pic:spPr>
                    </pic:pic>
                  </a:graphicData>
                </a:graphic>
              </wp:inline>
            </w:drawing>
          </w:r>
        </w:p>
      </w:tc>
    </w:tr>
  </w:tbl>
  <w:p>
    <w:pPr>
      <w:spacing w:after="40"/>
      <w:pBdr>
        <w:bottom w:val="single" w:sz="18" w:color="45C9F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