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&lt;2&gt;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Henry Gilbert</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Sophie Pavia</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Sydney McGinnis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Garthwaite</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Alejandro Serrano </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Thus far we have purley used Swift to build our app. In future increments we may implement a relational database to store user profiles, and thus we will incorporate SQL; however, currently our project is completely built using Swift in Xcode. </w:t>
      </w:r>
      <w:r w:rsidDel="00000000" w:rsidR="00000000" w:rsidRPr="00000000">
        <w:rPr>
          <w:rtl w:val="0"/>
        </w:rPr>
      </w:r>
    </w:p>
    <w:p w:rsidR="00000000" w:rsidDel="00000000" w:rsidP="00000000" w:rsidRDefault="00000000" w:rsidRPr="00000000" w14:paraId="0000001A">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As we have been purley building in Swift, our only platform used has been Xcode. </w:t>
      </w: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Thus far we have not performed execution-based functional testing. As this is the first increment, code was not required and thus testing our basic structure has not been a top priority. However, we have, of course, performed basic functionality testing of global variables and transitions between our view controllers. </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F">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sz w:val="20"/>
          <w:szCs w:val="20"/>
          <w:rtl w:val="0"/>
        </w:rPr>
        <w:t xml:space="preserve">We have not yet tested our non functional components. As we have only just built out the basic framework, there has not been a need for such testing, and we will only begin non-functional testing in increment 2. </w:t>
      </w:r>
      <w:r w:rsidDel="00000000" w:rsidR="00000000" w:rsidRPr="00000000">
        <w:rPr>
          <w:rtl w:val="0"/>
        </w:rPr>
      </w:r>
    </w:p>
    <w:p w:rsidR="00000000" w:rsidDel="00000000" w:rsidP="00000000" w:rsidRDefault="00000000" w:rsidRPr="00000000" w14:paraId="00000020">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1">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sz w:val="20"/>
          <w:szCs w:val="20"/>
          <w:rtl w:val="0"/>
        </w:rPr>
        <w:t xml:space="preserve">We meet weekly on Tuesdays where we review all new implementations to the code. Each member had an assigned task or functionality to create, so the group analyzes each contribution in turn and clears it to be integrated with the main branch as a team. We are not currently doing  in depth code walkthroughs as only the fundamental structure has been created and there is not currently a need for such analysis. </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AZZVuvrmhsFWY5u/WjPeEYz2w==">AMUW2mX1FRaE0sthSlpfb7p1vNTBE/MlrWxQOmMS3Bl88xGGppG94ts7yIOL7c/3Mv+lBSa7ykT5PAxmBO+EWgmvWgn/FXiYeDMe1W8ixt58KdVqvcHRcWZCIG7uJudRvw8vt/oD++pc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