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萍乡</w:t>
      </w:r>
      <w:r>
        <w:rPr>
          <w:b/>
          <w:sz w:val="36"/>
          <w:szCs w:val="36"/>
        </w:rPr>
        <w:t>市医保系统</w:t>
      </w: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两定接口上线验收批次计划</w:t>
      </w:r>
    </w:p>
    <w:p>
      <w:pPr>
        <w:jc w:val="center"/>
        <w:rPr>
          <w:b/>
        </w:rPr>
      </w:pPr>
      <w:r>
        <w:rPr>
          <w:rFonts w:hint="eastAsia"/>
          <w:b/>
        </w:rPr>
        <w:t>（仅限萍乡市内部使用，不公开）</w:t>
      </w:r>
    </w:p>
    <w:p>
      <w:pPr>
        <w:pStyle w:val="2"/>
      </w:pPr>
      <w:r>
        <w:t>概述</w:t>
      </w:r>
    </w:p>
    <w:p>
      <w:pPr>
        <w:spacing w:line="360" w:lineRule="auto"/>
        <w:ind w:firstLine="420" w:firstLineChars="200"/>
        <w:rPr>
          <w:rFonts w:hint="default" w:eastAsiaTheme="minorEastAsia"/>
          <w:szCs w:val="21"/>
          <w:lang w:val="en-US" w:eastAsia="zh-CN"/>
        </w:rPr>
      </w:pPr>
      <w:r>
        <w:rPr>
          <w:rFonts w:hint="eastAsia" w:cs="宋体" w:asciiTheme="minorEastAsia" w:hAnsiTheme="minorEastAsia"/>
          <w:bCs/>
          <w:kern w:val="0"/>
          <w:szCs w:val="21"/>
        </w:rPr>
        <w:t>两定接口共计</w:t>
      </w:r>
      <w:r>
        <w:rPr>
          <w:rFonts w:hint="eastAsia" w:cs="宋体" w:asciiTheme="minorEastAsia" w:hAnsiTheme="minorEastAsia"/>
          <w:bCs/>
          <w:kern w:val="0"/>
          <w:szCs w:val="21"/>
          <w:lang w:val="en-US" w:eastAsia="zh-CN"/>
        </w:rPr>
        <w:t>121</w:t>
      </w:r>
      <w:r>
        <w:rPr>
          <w:rFonts w:hint="eastAsia" w:cs="宋体" w:asciiTheme="minorEastAsia" w:hAnsiTheme="minorEastAsia"/>
          <w:bCs/>
          <w:kern w:val="0"/>
          <w:szCs w:val="21"/>
        </w:rPr>
        <w:t>个，</w:t>
      </w:r>
      <w:r>
        <w:rPr>
          <w:rFonts w:hint="eastAsia" w:cs="宋体" w:asciiTheme="minorEastAsia" w:hAnsiTheme="minorEastAsia"/>
          <w:bCs/>
          <w:kern w:val="0"/>
          <w:szCs w:val="21"/>
          <w:lang w:val="en-US" w:eastAsia="zh-CN"/>
        </w:rPr>
        <w:t>71</w:t>
      </w:r>
      <w:r>
        <w:rPr>
          <w:rFonts w:hint="eastAsia" w:cs="宋体" w:asciiTheme="minorEastAsia" w:hAnsiTheme="minorEastAsia"/>
          <w:bCs/>
          <w:kern w:val="0"/>
          <w:szCs w:val="21"/>
        </w:rPr>
        <w:t>个优先级为三级的接口（上线前必须完成）、</w:t>
      </w:r>
      <w:r>
        <w:rPr>
          <w:rFonts w:hint="eastAsia" w:cs="宋体" w:asciiTheme="minorEastAsia" w:hAnsiTheme="minorEastAsia"/>
          <w:bCs/>
          <w:kern w:val="0"/>
          <w:szCs w:val="21"/>
          <w:lang w:val="en-US" w:eastAsia="zh-CN"/>
        </w:rPr>
        <w:t>30</w:t>
      </w:r>
      <w:r>
        <w:rPr>
          <w:rFonts w:hint="eastAsia" w:cs="宋体" w:asciiTheme="minorEastAsia" w:hAnsiTheme="minorEastAsia"/>
          <w:bCs/>
          <w:kern w:val="0"/>
          <w:szCs w:val="21"/>
        </w:rPr>
        <w:t>个优先级为二级的接口（上线后1个月内完成）、</w:t>
      </w:r>
      <w:r>
        <w:rPr>
          <w:rFonts w:hint="eastAsia" w:cs="宋体" w:asciiTheme="minorEastAsia" w:hAnsiTheme="minorEastAsia"/>
          <w:bCs/>
          <w:kern w:val="0"/>
          <w:szCs w:val="21"/>
          <w:lang w:val="en-US" w:eastAsia="zh-CN"/>
        </w:rPr>
        <w:t>20</w:t>
      </w:r>
      <w:r>
        <w:rPr>
          <w:rFonts w:hint="eastAsia" w:cs="宋体" w:asciiTheme="minorEastAsia" w:hAnsiTheme="minorEastAsia"/>
          <w:bCs/>
          <w:kern w:val="0"/>
          <w:szCs w:val="21"/>
        </w:rPr>
        <w:t>个优先级为一级的接口（上线后2个月内完成</w:t>
      </w:r>
      <w:r>
        <w:rPr>
          <w:rFonts w:hint="eastAsia" w:cs="宋体" w:asciiTheme="minorEastAsia" w:hAnsiTheme="minorEastAsia"/>
          <w:bCs/>
          <w:kern w:val="0"/>
          <w:szCs w:val="21"/>
          <w:lang w:eastAsia="zh-CN"/>
        </w:rPr>
        <w:t>，</w:t>
      </w:r>
      <w:r>
        <w:rPr>
          <w:rFonts w:hint="eastAsia" w:cs="宋体" w:asciiTheme="minorEastAsia" w:hAnsiTheme="minorEastAsia"/>
          <w:bCs/>
          <w:kern w:val="0"/>
          <w:szCs w:val="21"/>
          <w:lang w:val="en-US" w:eastAsia="zh-CN"/>
        </w:rPr>
        <w:t>含17个后续增补接口交易</w:t>
      </w:r>
      <w:r>
        <w:rPr>
          <w:rFonts w:hint="eastAsia" w:cs="宋体" w:asciiTheme="minorEastAsia" w:hAnsiTheme="minorEastAsia"/>
          <w:bCs/>
          <w:kern w:val="0"/>
          <w:szCs w:val="21"/>
        </w:rPr>
        <w:t>）</w:t>
      </w:r>
      <w:r>
        <w:rPr>
          <w:rFonts w:hint="eastAsia" w:cs="宋体" w:asciiTheme="minorEastAsia" w:hAnsiTheme="minorEastAsia"/>
          <w:bCs/>
          <w:kern w:val="0"/>
          <w:szCs w:val="21"/>
          <w:lang w:val="en-US" w:eastAsia="zh-CN"/>
        </w:rPr>
        <w:t>。</w:t>
      </w:r>
    </w:p>
    <w:p>
      <w:pPr>
        <w:pStyle w:val="2"/>
      </w:pPr>
      <w:r>
        <w:t>接口明细</w:t>
      </w:r>
    </w:p>
    <w:p/>
    <w:tbl>
      <w:tblPr>
        <w:tblStyle w:val="11"/>
        <w:tblW w:w="5042" w:type="pct"/>
        <w:tblInd w:w="-3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882"/>
        <w:gridCol w:w="1171"/>
        <w:gridCol w:w="1896"/>
        <w:gridCol w:w="729"/>
        <w:gridCol w:w="1248"/>
        <w:gridCol w:w="19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接口编号</w:t>
            </w:r>
          </w:p>
        </w:tc>
        <w:tc>
          <w:tcPr>
            <w:tcW w:w="51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一级分类</w:t>
            </w:r>
          </w:p>
        </w:tc>
        <w:tc>
          <w:tcPr>
            <w:tcW w:w="68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二级分类</w:t>
            </w:r>
          </w:p>
        </w:tc>
        <w:tc>
          <w:tcPr>
            <w:tcW w:w="110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接口名称</w:t>
            </w:r>
          </w:p>
        </w:tc>
        <w:tc>
          <w:tcPr>
            <w:tcW w:w="42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调用方式</w:t>
            </w:r>
          </w:p>
        </w:tc>
        <w:tc>
          <w:tcPr>
            <w:tcW w:w="7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11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1101</w:t>
            </w:r>
          </w:p>
        </w:tc>
        <w:tc>
          <w:tcPr>
            <w:tcW w:w="513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1-基础信息</w:t>
            </w:r>
          </w:p>
        </w:tc>
        <w:tc>
          <w:tcPr>
            <w:tcW w:w="6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1-人员信息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人员基本信息获取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通过此交易获取人员信息。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1201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2-定点医药机构信息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医药机构信息获取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通过此交易获取医药机构基本信息。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1301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3-目录下载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西药中成药目录下载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根据本地最大版本号信息获取大于本地版本的目录信息。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1302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中药饮片目录下载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根据本地最大版本号信息获取大于本地版本的目录信息。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1303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医疗机构制剂目录下载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根据本地最大版本号信息获取大于本地版本的目录信息。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1304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民族药品目录下载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根据本地最大版本号信息获取大于本地版本的目录信息。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1305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医疗服务项目目录下载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根据本地最大版本号信息获取大于本地版本的目录信息。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1306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医用耗材目录下载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根据本地最大版本号信息获取大于本地版本的目录信息。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1307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疾病与诊断目录下载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根据本地最大版本号信息获取大于本地版本的目录信息。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1308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手术操作目录下载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根据本地最大版本号信息获取大于本地版本的目录信息。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1309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门诊慢特病种目录下载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根据本地最大版本号信息获取大于本地版本的目录信息。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1310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按病种付费病种目录下载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根据本地最大版本号信息获取大于本地版本的目录信息。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1311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日间手术治疗病种目录下载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根据本地最大版本号信息获取大于本地版本的目录信息。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1312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医保目录信息下载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根据本地最大版本号信息获取大于本地版本的目录信息。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1313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肿瘤形态学目录下载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根据本地最大版本号信息获取大于本地版本的目录信息。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1314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中医疾病目录下载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根据本地最大版本号信息获取大于本地版本的目录信息。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1315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中医证候目录下载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根据本地最大版本号信息获取大于本地版本的目录信息。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1316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医疗目录与医保目录匹配信息下载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通过此交易下载医疗目录与医保目录匹配信息。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1317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医药机构目录匹配信息下载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通过此交易下载医药机构目录匹配信息。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1318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医保目录限价信息下载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通过此交易下载医保目录限价信息。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1319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医保目录先自付比例信息下载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通过此交易下载医保目录先自付比例信息。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1901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9-其他信息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字典表下载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通过此交易下载字典表。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2001</w:t>
            </w:r>
          </w:p>
        </w:tc>
        <w:tc>
          <w:tcPr>
            <w:tcW w:w="513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2-医保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结算</w:t>
            </w:r>
          </w:p>
        </w:tc>
        <w:tc>
          <w:tcPr>
            <w:tcW w:w="6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0-待遇检查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人员待遇享受检查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通过此交易检查人员的待遇享受情况，返回待遇信息。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2101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1-药店结算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药店预结算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通过此交易进行药店购药，药店门诊慢特病购药的预结算。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2102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药店结算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通过此交易进行药店购药，药店门诊慢特病购药的结算（含费用明细上传）。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2103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药店结算撤销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通过此交易撤销药店结算（含费用明细撤销）。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2201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2-门急诊结算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门诊挂号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通过此交易进行门诊挂号。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2202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门诊挂号撤销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通过此交易进行门诊挂号的撤销。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2203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门诊就诊信息上传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通过此交易上传门诊就诊及诊断信息。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2204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门诊费用明细信息上传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通过此交易上传门诊费用明细信息。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2205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门诊费用明细信息撤销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通过此交易撤销门诊费用明细信息。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2206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门诊预结算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通过此交易进行门诊结算的预结算。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2207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门诊结算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通过此交易进行门诊结算的正式结算。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2208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门诊结算撤销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通过此交易撤销门诊结算。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2301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3-住院结算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住院费用明细上传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通过此交易上传住院费用明细信息。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2302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住院费用明细撤销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通过此交易撤销住院费用明细信息。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2303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住院预结算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通过此交易进行住院结算的预结算。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2304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住院结算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通过此交易进行住院结算的正式结算。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2305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住院结算撤销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通过此交易撤销住院结算。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2401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4-住院办理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入院办理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通过此交易进行入院登记办理。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2402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出院办理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通过此交易进出院办理。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2403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入院信息变更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通过此交易进行入院信息变更。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2404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入院撤销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通过此交易进行入院撤销。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2405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出院撤销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通过此交易进出院撤销。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2406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就医特殊属性上传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通过此交易维护人员就医特殊属性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2407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就医特殊属性查询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通过此交易查询人员就医特殊属性。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2501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5-人员备案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转院备案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通过此交易上传转院备案信息。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2502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转院备案撤销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通过此交易撤销上传的转院备案信息。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2503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人员慢特病备案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通过此交易上传人员慢特病备案信息。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2504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人员慢特病备案撤销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通过此交易撤销医保局还未处理的人员慢特病备案信息。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2505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人员定点备案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通过此交易上传人员定点备案信息。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2506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人员定点备案撤销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通过此交易撤销医保局还未审核的人员定点备案信息。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2507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人员意外伤害备案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2"/>
                <w:sz w:val="18"/>
                <w:szCs w:val="18"/>
              </w:rPr>
              <w:t>通</w:t>
            </w:r>
            <w:r>
              <w:rPr>
                <w:rFonts w:hint="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过此交易上传人员</w:t>
            </w:r>
            <w:r>
              <w:rPr>
                <w:rFonts w:hint="default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意外伤害</w:t>
            </w:r>
            <w:r>
              <w:rPr>
                <w:rFonts w:hint="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备案信息。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人员意外伤害备案撤销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三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Times New Roman" w:eastAsiaTheme="minorEastAsia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通过此交易撤销医保局还未审核的人员</w:t>
            </w:r>
            <w:r>
              <w:rPr>
                <w:rFonts w:hint="default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意外伤害</w:t>
            </w:r>
            <w:r>
              <w:rPr>
                <w:rFonts w:hint="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备案信息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人员特殊药品备案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三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Times New Roman"/>
                <w:kern w:val="2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通过此交易上传人员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特殊药品备案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人员特殊药品备案撤销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三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Times New Roman" w:asciiTheme="minorHAnsi" w:hAnsiTheme="minorHAnsi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通过此交易撤销医保局还未审核的人员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特殊药品</w:t>
            </w:r>
            <w:r>
              <w:rPr>
                <w:rFonts w:hint="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备案信息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按病种结算登记备案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三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Times New Roman" w:asciiTheme="minorHAnsi" w:hAnsiTheme="minorHAnsi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通过此交易上传人员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按病种结算登记备案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按病种结算登记备案撤销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三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Times New Roman" w:asciiTheme="minorHAnsi" w:hAnsiTheme="minorHAnsi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通过此交易撤销医保局还未审核的人员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按病种结算登记备案</w:t>
            </w:r>
            <w:r>
              <w:rPr>
                <w:rFonts w:hint="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信息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急诊转住院登记备案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三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通过此交易上传人员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急诊转住院登记备案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急诊转住院登记备案撤销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三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通过此交易撤销医保局还未审核的人员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急诊转住院登记备案</w:t>
            </w:r>
            <w:r>
              <w:rPr>
                <w:rFonts w:hint="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信息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门诊两病登记备案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通过此交易上传人员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门诊两病登记备案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门诊两病登记备案撤销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通过此交易撤销医保局还未审核的人员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门诊两病登记备案</w:t>
            </w:r>
            <w:r>
              <w:rPr>
                <w:rFonts w:hint="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信息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生育登记备案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三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Times New Roman"/>
                <w:kern w:val="2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通过此交易上传人员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生育登记备案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生育登记备案撤销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三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Times New Roman" w:asciiTheme="minorHAnsi" w:hAnsiTheme="minorHAnsi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通过此交易撤销医保局还未审核的人员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生育登记备案</w:t>
            </w:r>
            <w:r>
              <w:rPr>
                <w:rFonts w:hint="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信息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2601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6-事务补偿业务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冲正交易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定点医药机构发起某项交易时，因网络中断或超时等原因导致无法获取接收方状态，导致多方数据不一致或已确认接收方数据多时，可通过冲正取消接收方相应数据，保持双方数据一致。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3101</w:t>
            </w:r>
          </w:p>
        </w:tc>
        <w:tc>
          <w:tcPr>
            <w:tcW w:w="513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3-医药机构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服务</w:t>
            </w: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1-明细审核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明细审核分析服务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通过此交易进行事前的明细审核分析。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3102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明细审核事中分析服务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通过此交易进行事中的明细审核分析。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3201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2-医药机构费用结算业务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医药机构费用结算对总账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对通过此交易进行医药机构费用结算对总账。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3202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医药机构费用结算对明细账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通过此交易，在医药机构费用结算总账不平时，进行对明细账。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3301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3-目录对照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目录对照上传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2"/>
                <w:sz w:val="18"/>
                <w:szCs w:val="18"/>
              </w:rPr>
              <w:t>通过此交易上传目录对照关系。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3302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目录对照撤销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kern w:val="2"/>
                <w:sz w:val="18"/>
                <w:szCs w:val="18"/>
              </w:rPr>
              <w:t>通过此交易删除上传的目录对照信息。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3401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4-科室管理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科室信息上传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通过此交易上传科室信息。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3401A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批量科室信息上传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批量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上传科室信息。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3402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科室信息变更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通过此交易变更科室信息。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3403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科室信息撤销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通过此交易撤销科室信息。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3501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5-进销存管理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商品盘存上传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通过此交易上传商品盘存信息。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3502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商品库存变更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通过此交易上传商品的库存变化。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3503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商品采购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通过此交易上传商品采购信息。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3504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商品采购退货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通过此交易上传商品采购退货信息。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3505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商品销售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通过此交易上传商品销售信息。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3506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商品销售退货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通过此交易上传商品销售退货信息。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3507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商品信息删除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通过此交易删除某一批次商品信息。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4101</w:t>
            </w:r>
          </w:p>
        </w:tc>
        <w:tc>
          <w:tcPr>
            <w:tcW w:w="513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4-信息采集上传</w:t>
            </w:r>
          </w:p>
        </w:tc>
        <w:tc>
          <w:tcPr>
            <w:tcW w:w="6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1-医疗保障基金结算清单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医疗保障基金结算清单信息上传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定时/每天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通过此交易上传医疗保障基金结算清单信息。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4201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2-自费病人就医信息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自费病人费用明细信息上传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通过此交易上传自费病人费用明细信息。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4301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3-门急诊业务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门急诊诊疗记录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定时/每天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通过此交易上传门急诊诊疗记录。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4302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急诊留观手术及抢救信息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定时/每天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通过此交易上传急诊留观手术及抢救信息。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4401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4-住院业务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住院病案首页信息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定时/每天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二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通过此交易上传住院病案首页信息。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4402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住院医嘱记录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定时/每天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二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通过此交易上传住院医嘱记录。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4501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5-临床辅助业务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临床检验检查记录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定时/每天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通过此交易上传临床检验检查记录。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4502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细菌培养报告记录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定时/每天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通过此交易上传细菌培养报告记录。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4503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药敏记录报告记录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定时/每天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通过此交易上传药敏记录报告记录。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4504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病理检查报告记录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定时/每天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通过此交易上传病理检查报告记录。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4505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非结构化报告记录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定时/每天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通过此交易上传非结构化报告记录。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4506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非结构化报告记录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定时/每天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通过此交易上传非结构化报告记录。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4601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6-医疗管理业务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输血信息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定时/每天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通过此交易上传输血信息。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4602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护理操作生命体征测量记录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定时/每天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通过此交易上传护理操作生命体征测量记录。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4701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7-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电子病历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电子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病历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上传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定时/每天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通过此交易上传电子病历信息。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bookmarkStart w:id="0" w:name="_GoBack" w:colFirst="3" w:colLast="3"/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5101</w:t>
            </w:r>
          </w:p>
        </w:tc>
        <w:tc>
          <w:tcPr>
            <w:tcW w:w="513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5-信息查询</w:t>
            </w: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1-基础信息查询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科室信息查询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通过此交易获取当前医疗机构的科室基本信息。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5102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医执人员信息查询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通过此交易获取当前医药机构的医师、护士、药师人员信息。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5201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2-医保服务查询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就诊信息查询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根据人员信息获取该人员在本机构一段时间内的就诊信息。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5202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诊断信息查询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根据就诊信息获取该人员当次就诊的诊断信息。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5203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结算信息查询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根据条件信息获取该人员在本机构一段时间内的结算信息。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5204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费用明细查询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根据人员就诊信息获取该笔结算的明细信息。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5205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人员慢特病用药记录查询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根据人员信息获取该人员在一段时间内的门诊慢特病用药信息。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5206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人员累计信息查询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根据人员信息获取该人员的累计信息。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5301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3-医药机构服务查询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人员慢特病备案查询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根据个人信息获取该人员当前有效的慢特病备案信息。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5302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人员定点信息查询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通过此交易获取该人员当前的定点信息。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5303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在院信息查询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通过此交易获取当前定点医疗机构的在院病人信息。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5304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转院信息查询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通过此交易获取该人员在本机构一段时间内的转院信息。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人员意外伤害备案查询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通过此交易获取该人员当前的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意外伤害备案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人员特殊药品备案查询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通过此交易获取该人员当前的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  <w:lang w:val="en-US" w:eastAsia="zh-CN"/>
              </w:rPr>
              <w:t>特殊药品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备案信息。</w:t>
            </w:r>
          </w:p>
        </w:tc>
      </w:tr>
      <w:bookmarkEnd w:id="0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按病种结算登记备案查询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通过此交易获取该人员当前的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按病种结算登记备案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急诊转住院登记备案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通过此交易获取该人员当前的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急诊转住院登记备案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门诊两病登记备案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通过此交易获取该人员当前的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门诊两病登记备案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人员生育登记备案查询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通过此交易获取该人员当前的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  <w:lang w:val="en-US" w:eastAsia="zh-CN"/>
              </w:rPr>
              <w:t>生育登记备案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5401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4-检查检验互认结果查询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项目互认信息查询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通过此交易在开医技医嘱时获取项目互认的结果。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5402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报告明细信息查询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 w:themeFill="accent1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通过此交易在根据互认结果列表获取诊断明细。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9001</w:t>
            </w:r>
          </w:p>
        </w:tc>
        <w:tc>
          <w:tcPr>
            <w:tcW w:w="513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9-其他</w:t>
            </w: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0-签到签退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签到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通过此交易进行调用方签到。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9002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签退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通过此交易进行调用方签退。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9101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1-上传下载</w:t>
            </w: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文件上传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通过此交易上传文件。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3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9102</w:t>
            </w:r>
          </w:p>
        </w:tc>
        <w:tc>
          <w:tcPr>
            <w:tcW w:w="513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文件下载</w:t>
            </w:r>
          </w:p>
        </w:tc>
        <w:tc>
          <w:tcPr>
            <w:tcW w:w="42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实时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三级</w:t>
            </w:r>
          </w:p>
        </w:tc>
        <w:tc>
          <w:tcPr>
            <w:tcW w:w="11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通过此交易下载【1301-1319】目录信息下载、【5204】费用明细查询、【3202】医药机构费用结算对明细账交易生成的文件。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A5"/>
    <w:multiLevelType w:val="multilevel"/>
    <w:tmpl w:val="000000A5"/>
    <w:lvl w:ilvl="0" w:tentative="0">
      <w:start w:val="1"/>
      <w:numFmt w:val="decimal"/>
      <w:lvlText w:val="第 %1 章"/>
      <w:lvlJc w:val="center"/>
      <w:pPr>
        <w:tabs>
          <w:tab w:val="left" w:pos="432"/>
        </w:tabs>
        <w:ind w:left="0" w:firstLine="0"/>
      </w:pPr>
      <w:rPr>
        <w:rFonts w:hint="eastAsia" w:ascii="宋体" w:hAnsi="宋体" w:eastAsia="宋体"/>
        <w:sz w:val="36"/>
        <w:szCs w:val="36"/>
      </w:rPr>
    </w:lvl>
    <w:lvl w:ilvl="1" w:tentative="0">
      <w:start w:val="1"/>
      <w:numFmt w:val="decimal"/>
      <w:lvlText w:val="%1.%2"/>
      <w:lvlJc w:val="left"/>
      <w:pPr>
        <w:tabs>
          <w:tab w:val="left" w:pos="432"/>
        </w:tabs>
        <w:ind w:left="0" w:firstLine="0"/>
      </w:pPr>
      <w:rPr>
        <w:rFonts w:hint="eastAsia" w:ascii="宋体" w:hAnsi="宋体" w:eastAsia="宋体"/>
        <w:b/>
        <w:lang w:val="en-US"/>
      </w:rPr>
    </w:lvl>
    <w:lvl w:ilvl="2" w:tentative="0">
      <w:start w:val="1"/>
      <w:numFmt w:val="decimal"/>
      <w:lvlText w:val="%1.%2.%3"/>
      <w:lvlJc w:val="left"/>
      <w:pPr>
        <w:tabs>
          <w:tab w:val="left" w:pos="432"/>
        </w:tabs>
        <w:ind w:left="0" w:firstLine="0"/>
      </w:pPr>
      <w:rPr>
        <w:rFonts w:hint="eastAsia" w:ascii="宋体" w:hAnsi="宋体" w:eastAsia="宋体"/>
        <w:sz w:val="30"/>
        <w:szCs w:val="30"/>
        <w:lang w:eastAsia="zh-CN"/>
      </w:rPr>
    </w:lvl>
    <w:lvl w:ilvl="3" w:tentative="0">
      <w:start w:val="1"/>
      <w:numFmt w:val="decimal"/>
      <w:lvlText w:val="%1.%2.%3.%4"/>
      <w:lvlJc w:val="left"/>
      <w:pPr>
        <w:tabs>
          <w:tab w:val="left" w:pos="432"/>
        </w:tabs>
        <w:ind w:left="0" w:firstLine="0"/>
      </w:pPr>
      <w:rPr>
        <w:rFonts w:hint="eastAsia" w:ascii="宋体" w:hAnsi="宋体" w:eastAsia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432"/>
        </w:tabs>
        <w:ind w:left="0" w:firstLine="0"/>
      </w:pPr>
      <w:rPr>
        <w:rFonts w:ascii="宋体" w:hAnsi="宋体" w:eastAsia="宋体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5" w:tentative="0">
      <w:start w:val="1"/>
      <w:numFmt w:val="decimal"/>
      <w:lvlText w:val="%1.%2.%3.%4.%5.%6"/>
      <w:lvlJc w:val="left"/>
      <w:pPr>
        <w:tabs>
          <w:tab w:val="left" w:pos="432"/>
        </w:tabs>
        <w:ind w:left="0" w:firstLine="0"/>
      </w:pPr>
      <w:rPr>
        <w:rFonts w:hint="eastAsia" w:ascii="宋体" w:hAnsi="宋体" w:eastAsia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432"/>
        </w:tabs>
        <w:ind w:left="0" w:firstLine="0"/>
      </w:pPr>
      <w:rPr>
        <w:rFonts w:hint="eastAsia" w:ascii="宋体" w:hAnsi="宋体" w:eastAsia="宋体"/>
        <w:sz w:val="28"/>
        <w:szCs w:val="28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432"/>
        </w:tabs>
        <w:ind w:left="0" w:firstLine="0"/>
      </w:pPr>
      <w:rPr>
        <w:rFonts w:hint="eastAsia" w:ascii="宋体" w:hAnsi="宋体" w:eastAsia="宋体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32"/>
        </w:tabs>
        <w:ind w:left="0" w:firstLine="0"/>
      </w:pPr>
      <w:rPr>
        <w:rFonts w:hint="eastAsia" w:ascii="宋体" w:hAnsi="宋体" w:eastAsia="宋体"/>
      </w:rPr>
    </w:lvl>
  </w:abstractNum>
  <w:abstractNum w:abstractNumId="1">
    <w:nsid w:val="1D272934"/>
    <w:multiLevelType w:val="multilevel"/>
    <w:tmpl w:val="1D272934"/>
    <w:lvl w:ilvl="0" w:tentative="0">
      <w:start w:val="1"/>
      <w:numFmt w:val="decimal"/>
      <w:lvlText w:val="%1..1.1.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pStyle w:val="3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8B5E08"/>
    <w:multiLevelType w:val="multilevel"/>
    <w:tmpl w:val="3C8B5E08"/>
    <w:lvl w:ilvl="0" w:tentative="0">
      <w:start w:val="1"/>
      <w:numFmt w:val="decimal"/>
      <w:lvlText w:val="第%1章"/>
      <w:lvlJc w:val="left"/>
      <w:pPr>
        <w:tabs>
          <w:tab w:val="left" w:pos="432"/>
        </w:tabs>
        <w:ind w:left="0" w:firstLine="0"/>
      </w:pPr>
      <w:rPr>
        <w:rFonts w:hint="default" w:ascii="宋体" w:hAnsi="宋体" w:eastAsia="宋体" w:cs="宋体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vertAlign w:val="baseline"/>
        <w14:ligatures w14:val="none"/>
        <w14:numForm w14:val="default"/>
        <w14:numSpacing w14:val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0" w:firstLine="0"/>
      </w:pPr>
      <w:rPr>
        <w:rFonts w:hint="default" w:ascii="宋体" w:hAnsi="宋体" w:eastAsia="宋体" w:cs="宋体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32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578"/>
        </w:tabs>
        <w:ind w:left="0" w:firstLine="0"/>
      </w:pPr>
      <w:rPr>
        <w:rFonts w:hint="default" w:ascii="宋体" w:hAnsi="宋体" w:eastAsia="宋体" w:cs="宋体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vertAlign w:val="baseline"/>
        <w14:ligatures w14:val="none"/>
        <w14:numForm w14:val="default"/>
        <w14:numSpacing w14:val="default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720"/>
        </w:tabs>
        <w:ind w:left="0" w:firstLine="0"/>
      </w:pPr>
      <w:rPr>
        <w:rFonts w:hint="default" w:ascii="宋体" w:hAnsi="宋体" w:eastAsia="宋体" w:cs="宋体"/>
        <w:b/>
        <w:i w:val="0"/>
        <w:snapToGrid/>
        <w:color w:val="auto"/>
        <w:spacing w:val="0"/>
        <w:w w:val="100"/>
        <w:kern w:val="0"/>
        <w:position w:val="0"/>
        <w:sz w:val="21"/>
        <w:szCs w:val="28"/>
        <w:u w:val="none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/>
        <w:i w:val="0"/>
        <w:snapToGrid/>
        <w:color w:val="auto"/>
        <w:spacing w:val="0"/>
        <w:w w:val="100"/>
        <w:kern w:val="0"/>
        <w:position w:val="0"/>
        <w:sz w:val="21"/>
        <w:szCs w:val="28"/>
        <w:u w:val="none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1"/>
        <w:u w:val="none"/>
        <w:vertAlign w:val="baseline"/>
        <w14:ligatures w14:val="none"/>
        <w14:numForm w14:val="default"/>
        <w14:numSpacing w14:val="default"/>
      </w:rPr>
    </w:lvl>
    <w:lvl w:ilvl="6" w:tentative="0">
      <w:start w:val="1"/>
      <w:numFmt w:val="decimal"/>
      <w:suff w:val="space"/>
      <w:lvlText w:val="%1.%2.%3.%4.%5.%6.%7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/>
        <w:i w:val="0"/>
        <w:color w:val="auto"/>
        <w:spacing w:val="0"/>
        <w:w w:val="100"/>
        <w:position w:val="0"/>
        <w:sz w:val="21"/>
        <w:szCs w:val="24"/>
        <w:u w:val="none"/>
      </w:rPr>
    </w:lvl>
    <w:lvl w:ilvl="7" w:tentative="0">
      <w:start w:val="1"/>
      <w:numFmt w:val="decimal"/>
      <w:suff w:val="space"/>
      <w:lvlText w:val="%1.%2.%3.%4.%5.%6.%7.%8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/>
        <w:i w:val="0"/>
        <w:snapToGrid/>
        <w:color w:val="auto"/>
        <w:spacing w:val="0"/>
        <w:w w:val="100"/>
        <w:kern w:val="0"/>
        <w:position w:val="0"/>
        <w:sz w:val="21"/>
        <w:szCs w:val="24"/>
        <w:u w:val="none"/>
      </w:rPr>
    </w:lvl>
    <w:lvl w:ilvl="8" w:tentative="0">
      <w:start w:val="1"/>
      <w:numFmt w:val="decimal"/>
      <w:suff w:val="space"/>
      <w:lvlText w:val="%1.%2.%3.%4.%5.%6.%7.%8.%9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/>
        <w:i w:val="0"/>
        <w:snapToGrid/>
        <w:color w:val="auto"/>
        <w:spacing w:val="0"/>
        <w:w w:val="100"/>
        <w:kern w:val="0"/>
        <w:position w:val="0"/>
        <w:sz w:val="21"/>
        <w:szCs w:val="24"/>
        <w:u w:val="none"/>
      </w:rPr>
    </w:lvl>
  </w:abstractNum>
  <w:abstractNum w:abstractNumId="3">
    <w:nsid w:val="7754379D"/>
    <w:multiLevelType w:val="multilevel"/>
    <w:tmpl w:val="7754379D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40"/>
    <w:rsid w:val="00171905"/>
    <w:rsid w:val="002268B0"/>
    <w:rsid w:val="00464633"/>
    <w:rsid w:val="004C3B28"/>
    <w:rsid w:val="006960DA"/>
    <w:rsid w:val="00744A2E"/>
    <w:rsid w:val="00791796"/>
    <w:rsid w:val="007C37CF"/>
    <w:rsid w:val="008C0A32"/>
    <w:rsid w:val="008F3147"/>
    <w:rsid w:val="009201BE"/>
    <w:rsid w:val="009A1B5A"/>
    <w:rsid w:val="00A506AB"/>
    <w:rsid w:val="00A5794C"/>
    <w:rsid w:val="00B373C2"/>
    <w:rsid w:val="00B54FE2"/>
    <w:rsid w:val="00B560FD"/>
    <w:rsid w:val="00CC0096"/>
    <w:rsid w:val="00CE042D"/>
    <w:rsid w:val="00DF0A37"/>
    <w:rsid w:val="00E07E4D"/>
    <w:rsid w:val="00E47B40"/>
    <w:rsid w:val="0C7153A8"/>
    <w:rsid w:val="0CFF516D"/>
    <w:rsid w:val="0D3071F0"/>
    <w:rsid w:val="117C34A6"/>
    <w:rsid w:val="13CE5D08"/>
    <w:rsid w:val="17CA3B91"/>
    <w:rsid w:val="19CC7DCD"/>
    <w:rsid w:val="1C61211B"/>
    <w:rsid w:val="1C7871C2"/>
    <w:rsid w:val="1E5C6E03"/>
    <w:rsid w:val="20624920"/>
    <w:rsid w:val="2BAB342B"/>
    <w:rsid w:val="2CB37A5A"/>
    <w:rsid w:val="2CCA059D"/>
    <w:rsid w:val="2FD10585"/>
    <w:rsid w:val="345C4CD0"/>
    <w:rsid w:val="3A42109E"/>
    <w:rsid w:val="3C1D0DB6"/>
    <w:rsid w:val="3DE83343"/>
    <w:rsid w:val="4365778A"/>
    <w:rsid w:val="482A66CB"/>
    <w:rsid w:val="5BC30D15"/>
    <w:rsid w:val="5EF83E93"/>
    <w:rsid w:val="64FA394D"/>
    <w:rsid w:val="68501493"/>
    <w:rsid w:val="771126E0"/>
    <w:rsid w:val="7A6336E4"/>
    <w:rsid w:val="7B5C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spacing w:line="360" w:lineRule="auto"/>
      <w:outlineLvl w:val="0"/>
    </w:pPr>
    <w:rPr>
      <w:rFonts w:ascii="Times New Roman" w:hAnsi="Times New Roman" w:eastAsia="宋体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framePr w:wrap="notBeside" w:vAnchor="page" w:hAnchor="text" w:y="1"/>
      <w:numPr>
        <w:ilvl w:val="1"/>
        <w:numId w:val="2"/>
      </w:numPr>
      <w:tabs>
        <w:tab w:val="left" w:pos="432"/>
        <w:tab w:val="left" w:pos="576"/>
      </w:tabs>
      <w:spacing w:line="360" w:lineRule="auto"/>
      <w:ind w:left="0" w:firstLine="0"/>
      <w:outlineLvl w:val="1"/>
    </w:pPr>
    <w:rPr>
      <w:rFonts w:ascii="宋体" w:hAnsi="宋体" w:eastAsia="宋体" w:cs="Times New Roman"/>
      <w:b/>
      <w:bCs/>
      <w:color w:val="FFFFFF" w:themeColor="background1"/>
      <w:sz w:val="28"/>
      <w:szCs w:val="32"/>
      <w14:textFill>
        <w14:noFill/>
      </w14:textFill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numPr>
        <w:ilvl w:val="2"/>
        <w:numId w:val="3"/>
      </w:numPr>
      <w:spacing w:line="360" w:lineRule="auto"/>
      <w:outlineLvl w:val="2"/>
    </w:pPr>
    <w:rPr>
      <w:rFonts w:ascii="宋体"/>
      <w:b/>
      <w:bCs/>
      <w:sz w:val="24"/>
      <w:szCs w:val="32"/>
    </w:rPr>
  </w:style>
  <w:style w:type="paragraph" w:styleId="5">
    <w:name w:val="heading 4"/>
    <w:basedOn w:val="1"/>
    <w:next w:val="1"/>
    <w:link w:val="16"/>
    <w:qFormat/>
    <w:uiPriority w:val="0"/>
    <w:pPr>
      <w:keepNext/>
      <w:keepLines/>
      <w:numPr>
        <w:ilvl w:val="3"/>
        <w:numId w:val="3"/>
      </w:numPr>
      <w:spacing w:line="360" w:lineRule="auto"/>
      <w:outlineLvl w:val="3"/>
    </w:pPr>
    <w:rPr>
      <w:rFonts w:ascii="宋体" w:hAnsi="Arial"/>
      <w:b/>
      <w:bCs/>
      <w:szCs w:val="28"/>
    </w:rPr>
  </w:style>
  <w:style w:type="paragraph" w:styleId="6">
    <w:name w:val="heading 5"/>
    <w:basedOn w:val="1"/>
    <w:next w:val="1"/>
    <w:link w:val="17"/>
    <w:qFormat/>
    <w:uiPriority w:val="0"/>
    <w:pPr>
      <w:keepNext/>
      <w:keepLines/>
      <w:numPr>
        <w:ilvl w:val="4"/>
        <w:numId w:val="3"/>
      </w:numPr>
      <w:spacing w:line="360" w:lineRule="auto"/>
      <w:outlineLvl w:val="4"/>
    </w:pPr>
    <w:rPr>
      <w:rFonts w:ascii="宋体"/>
      <w:b/>
      <w:bCs/>
      <w:szCs w:val="28"/>
    </w:rPr>
  </w:style>
  <w:style w:type="paragraph" w:styleId="7">
    <w:name w:val="heading 6"/>
    <w:basedOn w:val="1"/>
    <w:next w:val="1"/>
    <w:link w:val="18"/>
    <w:qFormat/>
    <w:uiPriority w:val="0"/>
    <w:pPr>
      <w:keepNext/>
      <w:keepLines/>
      <w:numPr>
        <w:ilvl w:val="5"/>
        <w:numId w:val="3"/>
      </w:numPr>
      <w:tabs>
        <w:tab w:val="left" w:pos="432"/>
        <w:tab w:val="clear" w:pos="420"/>
      </w:tabs>
      <w:spacing w:line="360" w:lineRule="auto"/>
      <w:outlineLvl w:val="5"/>
    </w:pPr>
    <w:rPr>
      <w:rFonts w:ascii="宋体" w:hAnsi="Arial"/>
      <w:b/>
      <w:bCs/>
      <w:szCs w:val="24"/>
    </w:rPr>
  </w:style>
  <w:style w:type="paragraph" w:styleId="8">
    <w:name w:val="heading 7"/>
    <w:basedOn w:val="1"/>
    <w:next w:val="1"/>
    <w:link w:val="19"/>
    <w:qFormat/>
    <w:uiPriority w:val="0"/>
    <w:pPr>
      <w:keepNext/>
      <w:keepLines/>
      <w:numPr>
        <w:ilvl w:val="6"/>
        <w:numId w:val="4"/>
      </w:numPr>
      <w:spacing w:line="360" w:lineRule="auto"/>
      <w:outlineLvl w:val="6"/>
    </w:pPr>
    <w:rPr>
      <w:rFonts w:ascii="宋体" w:hAnsi="宋体"/>
      <w:b/>
      <w:bCs/>
      <w:szCs w:val="24"/>
    </w:rPr>
  </w:style>
  <w:style w:type="paragraph" w:styleId="9">
    <w:name w:val="heading 8"/>
    <w:basedOn w:val="1"/>
    <w:next w:val="1"/>
    <w:link w:val="20"/>
    <w:qFormat/>
    <w:uiPriority w:val="0"/>
    <w:pPr>
      <w:keepNext/>
      <w:keepLines/>
      <w:numPr>
        <w:ilvl w:val="7"/>
        <w:numId w:val="4"/>
      </w:numPr>
      <w:spacing w:line="360" w:lineRule="auto"/>
      <w:outlineLvl w:val="7"/>
    </w:pPr>
    <w:rPr>
      <w:rFonts w:ascii="宋体" w:hAnsi="宋体" w:eastAsiaTheme="majorEastAsia"/>
      <w:b/>
      <w:szCs w:val="24"/>
    </w:rPr>
  </w:style>
  <w:style w:type="paragraph" w:styleId="10">
    <w:name w:val="heading 9"/>
    <w:basedOn w:val="1"/>
    <w:next w:val="1"/>
    <w:link w:val="21"/>
    <w:qFormat/>
    <w:uiPriority w:val="0"/>
    <w:pPr>
      <w:keepNext/>
      <w:keepLines/>
      <w:spacing w:line="360" w:lineRule="auto"/>
      <w:jc w:val="left"/>
      <w:outlineLvl w:val="8"/>
    </w:pPr>
    <w:rPr>
      <w:rFonts w:ascii="Times New Roman" w:hAnsi="Times New Roman"/>
      <w:szCs w:val="24"/>
      <w:lang w:val="zh-CN" w:eastAsia="zh-CN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14">
    <w:name w:val="标题 2 Char"/>
    <w:basedOn w:val="12"/>
    <w:link w:val="3"/>
    <w:qFormat/>
    <w:uiPriority w:val="0"/>
    <w:rPr>
      <w:rFonts w:ascii="宋体" w:hAnsi="宋体" w:eastAsia="宋体" w:cs="Times New Roman"/>
      <w:b/>
      <w:bCs/>
      <w:color w:val="FFFFFF" w:themeColor="background1"/>
      <w:sz w:val="28"/>
      <w:szCs w:val="32"/>
      <w14:textFill>
        <w14:noFill/>
      </w14:textFill>
    </w:rPr>
  </w:style>
  <w:style w:type="character" w:customStyle="1" w:styleId="15">
    <w:name w:val="标题 3 Char"/>
    <w:link w:val="4"/>
    <w:qFormat/>
    <w:uiPriority w:val="0"/>
    <w:rPr>
      <w:rFonts w:ascii="宋体"/>
      <w:b/>
      <w:bCs/>
      <w:sz w:val="24"/>
      <w:szCs w:val="32"/>
    </w:rPr>
  </w:style>
  <w:style w:type="character" w:customStyle="1" w:styleId="16">
    <w:name w:val="标题 4 Char"/>
    <w:link w:val="5"/>
    <w:qFormat/>
    <w:uiPriority w:val="0"/>
    <w:rPr>
      <w:rFonts w:ascii="宋体" w:hAnsi="Arial"/>
      <w:b/>
      <w:bCs/>
      <w:szCs w:val="28"/>
    </w:rPr>
  </w:style>
  <w:style w:type="character" w:customStyle="1" w:styleId="17">
    <w:name w:val="标题 5 Char"/>
    <w:link w:val="6"/>
    <w:qFormat/>
    <w:uiPriority w:val="0"/>
    <w:rPr>
      <w:rFonts w:ascii="宋体"/>
      <w:b/>
      <w:bCs/>
      <w:szCs w:val="28"/>
    </w:rPr>
  </w:style>
  <w:style w:type="character" w:customStyle="1" w:styleId="18">
    <w:name w:val="标题 6 Char"/>
    <w:link w:val="7"/>
    <w:qFormat/>
    <w:uiPriority w:val="0"/>
    <w:rPr>
      <w:rFonts w:ascii="宋体" w:hAnsi="Arial"/>
      <w:b/>
      <w:bCs/>
      <w:szCs w:val="24"/>
    </w:rPr>
  </w:style>
  <w:style w:type="character" w:customStyle="1" w:styleId="19">
    <w:name w:val="标题 7 Char"/>
    <w:link w:val="8"/>
    <w:qFormat/>
    <w:uiPriority w:val="0"/>
    <w:rPr>
      <w:rFonts w:ascii="宋体" w:hAnsi="宋体"/>
      <w:b/>
      <w:bCs/>
      <w:szCs w:val="24"/>
    </w:rPr>
  </w:style>
  <w:style w:type="character" w:customStyle="1" w:styleId="20">
    <w:name w:val="标题 8 Char"/>
    <w:link w:val="9"/>
    <w:qFormat/>
    <w:uiPriority w:val="0"/>
    <w:rPr>
      <w:rFonts w:ascii="宋体" w:hAnsi="宋体" w:eastAsiaTheme="majorEastAsia"/>
      <w:b/>
      <w:szCs w:val="24"/>
    </w:rPr>
  </w:style>
  <w:style w:type="character" w:customStyle="1" w:styleId="21">
    <w:name w:val="标题 9 Char"/>
    <w:link w:val="10"/>
    <w:qFormat/>
    <w:uiPriority w:val="0"/>
    <w:rPr>
      <w:rFonts w:ascii="Times New Roman" w:hAnsi="Times New Roman"/>
      <w:szCs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835</Words>
  <Characters>4763</Characters>
  <Lines>39</Lines>
  <Paragraphs>11</Paragraphs>
  <TotalTime>9</TotalTime>
  <ScaleCrop>false</ScaleCrop>
  <LinksUpToDate>false</LinksUpToDate>
  <CharactersWithSpaces>5587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2021-06-21T06:56:00Z</dcterms:created>
  <dc:creator>Microsoft 帐户</dc:creator>
  <cp:lastModifiedBy>Ajax</cp:lastModifiedBy>
  <cp:lastPrinted>2021-01-20T08:52:00Z</cp:lastPrinted>
  <dcterms:modified xsi:type="dcterms:W3CDTF">2021-09-15T08:09:32Z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