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KBData Tag Schema &amp; Standardization Guide</w:t>
      </w:r>
    </w:p>
    <w:p>
      <w:r>
        <w:t>This document provides a reference guide for the Tags field used in the KBData Dataverse table. Tags are used to improve search accuracy and group related knowledge base articles within SIAConnect.</w:t>
      </w:r>
    </w:p>
    <w:p>
      <w:r>
        <w:t>Generated on: April 02, 2025</w:t>
      </w:r>
    </w:p>
    <w:p/>
    <w:p>
      <w:pPr>
        <w:pStyle w:val="Heading2"/>
      </w:pPr>
      <w:r>
        <w:t>Tag Formatting Rules</w:t>
      </w:r>
    </w:p>
    <w:p>
      <w:pPr>
        <w:pStyle w:val="ListBullet"/>
      </w:pPr>
      <w:r>
        <w:t>• Tags must be lowercase.</w:t>
      </w:r>
    </w:p>
    <w:p>
      <w:pPr>
        <w:pStyle w:val="ListBullet"/>
      </w:pPr>
      <w:r>
        <w:t>• Tags must use hyphens (-) instead of spaces.</w:t>
      </w:r>
    </w:p>
    <w:p>
      <w:pPr>
        <w:pStyle w:val="ListBullet"/>
      </w:pPr>
      <w:r>
        <w:t>• Each tag should be unique within an article (no duplicates).</w:t>
      </w:r>
    </w:p>
    <w:p>
      <w:pPr>
        <w:pStyle w:val="ListBullet"/>
      </w:pPr>
      <w:r>
        <w:t>• Separate multiple tags with a semicolon and a space ('; ').</w:t>
      </w:r>
    </w:p>
    <w:p>
      <w:pPr>
        <w:pStyle w:val="ListBullet"/>
      </w:pPr>
      <w:r>
        <w:t>• Avoid overly generic tags like 'general' unless used for specific indexing purposes.</w:t>
      </w:r>
    </w:p>
    <w:p>
      <w:pPr>
        <w:pStyle w:val="ListBullet"/>
      </w:pPr>
      <w:r>
        <w:t>• Standardize brand or model names (e.g., use 'glr-200' instead of 'GLR 200').</w:t>
      </w:r>
    </w:p>
    <w:p>
      <w:pPr>
        <w:pStyle w:val="Heading2"/>
      </w:pPr>
      <w:r>
        <w:t>Examples of Standardized Tags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Tag</w:t>
            </w:r>
          </w:p>
        </w:tc>
        <w:tc>
          <w:tcPr>
            <w:tcW w:type="dxa" w:w="4320"/>
          </w:tcPr>
          <w:p>
            <w:r>
              <w:t>Purpose / Context</w:t>
            </w:r>
          </w:p>
        </w:tc>
      </w:tr>
      <w:tr>
        <w:tc>
          <w:tcPr>
            <w:tcW w:type="dxa" w:w="4320"/>
          </w:tcPr>
          <w:p>
            <w:r>
              <w:t>glr-200</w:t>
            </w:r>
          </w:p>
        </w:tc>
        <w:tc>
          <w:tcPr>
            <w:tcW w:type="dxa" w:w="4320"/>
          </w:tcPr>
          <w:p>
            <w:r>
              <w:t>Refers to the GLR-200 product line</w:t>
            </w:r>
          </w:p>
        </w:tc>
      </w:tr>
      <w:tr>
        <w:tc>
          <w:tcPr>
            <w:tcW w:type="dxa" w:w="4320"/>
          </w:tcPr>
          <w:p>
            <w:r>
              <w:t>ci-100</w:t>
            </w:r>
          </w:p>
        </w:tc>
        <w:tc>
          <w:tcPr>
            <w:tcW w:type="dxa" w:w="4320"/>
          </w:tcPr>
          <w:p>
            <w:r>
              <w:t>CI-100 cash recycler documentation</w:t>
            </w:r>
          </w:p>
        </w:tc>
      </w:tr>
      <w:tr>
        <w:tc>
          <w:tcPr>
            <w:tcW w:type="dxa" w:w="4320"/>
          </w:tcPr>
          <w:p>
            <w:r>
              <w:t>status-codes</w:t>
            </w:r>
          </w:p>
        </w:tc>
        <w:tc>
          <w:tcPr>
            <w:tcW w:type="dxa" w:w="4320"/>
          </w:tcPr>
          <w:p>
            <w:r>
              <w:t>Articles relating to error or status codes</w:t>
            </w:r>
          </w:p>
        </w:tc>
      </w:tr>
      <w:tr>
        <w:tc>
          <w:tcPr>
            <w:tcW w:type="dxa" w:w="4320"/>
          </w:tcPr>
          <w:p>
            <w:r>
              <w:t>install-guide</w:t>
            </w:r>
          </w:p>
        </w:tc>
        <w:tc>
          <w:tcPr>
            <w:tcW w:type="dxa" w:w="4320"/>
          </w:tcPr>
          <w:p>
            <w:r>
              <w:t>Installation instructions</w:t>
            </w:r>
          </w:p>
        </w:tc>
      </w:tr>
      <w:tr>
        <w:tc>
          <w:tcPr>
            <w:tcW w:type="dxa" w:w="4320"/>
          </w:tcPr>
          <w:p>
            <w:r>
              <w:t>troubleshooting</w:t>
            </w:r>
          </w:p>
        </w:tc>
        <w:tc>
          <w:tcPr>
            <w:tcW w:type="dxa" w:w="4320"/>
          </w:tcPr>
          <w:p>
            <w:r>
              <w:t>Step-by-step issue resolution articles</w:t>
            </w:r>
          </w:p>
        </w:tc>
      </w:tr>
      <w:tr>
        <w:tc>
          <w:tcPr>
            <w:tcW w:type="dxa" w:w="4320"/>
          </w:tcPr>
          <w:p>
            <w:r>
              <w:t>field-service</w:t>
            </w:r>
          </w:p>
        </w:tc>
        <w:tc>
          <w:tcPr>
            <w:tcW w:type="dxa" w:w="4320"/>
          </w:tcPr>
          <w:p>
            <w:r>
              <w:t>Used for technician and field repair references</w:t>
            </w:r>
          </w:p>
        </w:tc>
      </w:tr>
      <w:tr>
        <w:tc>
          <w:tcPr>
            <w:tcW w:type="dxa" w:w="4320"/>
          </w:tcPr>
          <w:p>
            <w:r>
              <w:t>revolution-series</w:t>
            </w:r>
          </w:p>
        </w:tc>
        <w:tc>
          <w:tcPr>
            <w:tcW w:type="dxa" w:w="4320"/>
          </w:tcPr>
          <w:p>
            <w:r>
              <w:t>Legacy Revolution products</w:t>
            </w:r>
          </w:p>
        </w:tc>
      </w:tr>
    </w:tbl>
    <w:p/>
    <w:p>
      <w:r>
        <w:t>For any new tags, ensure they follow the rules above and are not duplicates of existing tags under a different format (e.g., 'glr200' vs 'glr-200'). This will ensure consistency and improve knowledge retrieval.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