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429C2F" w14:textId="219457A3" w:rsidR="00297AE7" w:rsidRDefault="00C24AE7">
      <w:pPr>
        <w:widowControl w:val="0"/>
        <w:rPr>
          <w:rFonts w:ascii="Calibri" w:eastAsia="SimSun" w:hAnsi="Calibri"/>
          <w:b/>
          <w:color w:val="000000"/>
          <w:kern w:val="1"/>
          <w:sz w:val="28"/>
          <w:szCs w:val="20"/>
          <w:lang w:val="en-US"/>
        </w:rPr>
      </w:pPr>
      <w:r>
        <w:rPr>
          <w:rFonts w:ascii="Calibri" w:eastAsia="SimSun" w:hAnsi="Calibri"/>
          <w:b/>
          <w:color w:val="000000"/>
          <w:kern w:val="1"/>
          <w:sz w:val="28"/>
          <w:szCs w:val="20"/>
          <w:lang w:val="en-US"/>
        </w:rPr>
        <w:t>Efficient P</w:t>
      </w:r>
      <w:r w:rsidR="00590380">
        <w:rPr>
          <w:rFonts w:ascii="Calibri" w:eastAsia="SimSun" w:hAnsi="Calibri"/>
          <w:b/>
          <w:color w:val="000000"/>
          <w:kern w:val="1"/>
          <w:sz w:val="28"/>
          <w:szCs w:val="20"/>
          <w:lang w:val="en-US"/>
        </w:rPr>
        <w:t xml:space="preserve">revalence </w:t>
      </w:r>
      <w:r>
        <w:rPr>
          <w:rFonts w:ascii="Calibri" w:eastAsia="SimSun" w:hAnsi="Calibri"/>
          <w:b/>
          <w:color w:val="000000"/>
          <w:kern w:val="1"/>
          <w:sz w:val="28"/>
          <w:szCs w:val="20"/>
          <w:lang w:val="en-US"/>
        </w:rPr>
        <w:t>Estimation and Population S</w:t>
      </w:r>
      <w:r w:rsidR="00590380">
        <w:rPr>
          <w:rFonts w:ascii="Calibri" w:eastAsia="SimSun" w:hAnsi="Calibri"/>
          <w:b/>
          <w:color w:val="000000"/>
          <w:kern w:val="1"/>
          <w:sz w:val="28"/>
          <w:szCs w:val="20"/>
          <w:lang w:val="en-US"/>
        </w:rPr>
        <w:t>creening for SARS-CoV-2</w:t>
      </w:r>
    </w:p>
    <w:p w14:paraId="5640C66F" w14:textId="2982C7CD" w:rsidR="00297AE7" w:rsidRDefault="00297AE7">
      <w:pPr>
        <w:widowControl w:val="0"/>
        <w:rPr>
          <w:rFonts w:ascii="Calibri" w:eastAsia="SimSun" w:hAnsi="Calibri"/>
          <w:color w:val="000000"/>
          <w:kern w:val="1"/>
          <w:szCs w:val="20"/>
          <w:lang w:val="en-US"/>
        </w:rPr>
      </w:pPr>
    </w:p>
    <w:p w14:paraId="0E097568" w14:textId="6352E6A4" w:rsidR="00297AE7" w:rsidRDefault="00590380">
      <w:pPr>
        <w:widowControl w:val="0"/>
        <w:rPr>
          <w:rFonts w:ascii="Calibri" w:eastAsia="SimSun" w:hAnsi="Calibri"/>
          <w:color w:val="000000"/>
          <w:kern w:val="1"/>
          <w:szCs w:val="20"/>
          <w:lang w:val="en-US"/>
        </w:rPr>
      </w:pPr>
      <w:r>
        <w:rPr>
          <w:rFonts w:ascii="Calibri" w:eastAsia="SimSun" w:hAnsi="Calibri"/>
          <w:color w:val="000000"/>
          <w:kern w:val="1"/>
          <w:szCs w:val="20"/>
          <w:lang w:val="en-US"/>
        </w:rPr>
        <w:t>The most common testing method for SARS-CoV-2 is RT-PCR analysis of nasopharyngeal and/or throat swab samples. In most countries, testing capacity is highly limited due to lack of equipment and necessary testing reagents. Consequently, some laboratories have explored pooling techniques to increase the number of individuals tested with th</w:t>
      </w:r>
      <w:r w:rsidR="00CD7CD6">
        <w:rPr>
          <w:rFonts w:ascii="Calibri" w:eastAsia="SimSun" w:hAnsi="Calibri"/>
          <w:color w:val="000000"/>
          <w:kern w:val="1"/>
          <w:szCs w:val="20"/>
          <w:lang w:val="en-US"/>
        </w:rPr>
        <w:t>e available number of tests.</w:t>
      </w:r>
      <w:r w:rsidR="00CD7CD6" w:rsidRPr="00CD7CD6">
        <w:rPr>
          <w:rFonts w:ascii="Calibri" w:eastAsia="SimSun" w:hAnsi="Calibri"/>
          <w:color w:val="000000"/>
          <w:kern w:val="1"/>
          <w:szCs w:val="20"/>
          <w:vertAlign w:val="superscript"/>
          <w:lang w:val="en-US"/>
        </w:rPr>
        <w:t>1</w:t>
      </w:r>
      <w:r w:rsidR="00CD7CD6">
        <w:rPr>
          <w:rFonts w:ascii="Calibri" w:eastAsia="SimSun" w:hAnsi="Calibri"/>
          <w:color w:val="000000"/>
          <w:kern w:val="1"/>
          <w:szCs w:val="20"/>
          <w:lang w:val="en-US"/>
        </w:rPr>
        <w:t xml:space="preserve"> </w:t>
      </w:r>
      <w:r>
        <w:rPr>
          <w:rFonts w:ascii="Calibri" w:eastAsia="SimSun" w:hAnsi="Calibri"/>
          <w:color w:val="000000"/>
          <w:kern w:val="1"/>
          <w:szCs w:val="20"/>
          <w:lang w:val="en-US"/>
        </w:rPr>
        <w:t>At Stavanger University Hospital we have operationally verified the possibility of pooling eight samples with maintained diagnostic sensitivity. We would like to draw the attention to two, maybe less obvious, opportunities enabled by pooling of up to 32 or even more samples that appear to be possible within the PCR protocol recommended by WHO for SARS-CoV-2 detection.</w:t>
      </w:r>
    </w:p>
    <w:p w14:paraId="1BE9CB89" w14:textId="46A181BF" w:rsidR="00297AE7" w:rsidRDefault="00297AE7">
      <w:pPr>
        <w:widowControl w:val="0"/>
        <w:rPr>
          <w:rFonts w:ascii="Calibri" w:eastAsia="SimSun" w:hAnsi="Calibri"/>
          <w:color w:val="000000"/>
          <w:kern w:val="1"/>
          <w:szCs w:val="20"/>
          <w:lang w:val="en-US"/>
        </w:rPr>
      </w:pPr>
    </w:p>
    <w:p w14:paraId="3CFB52B4" w14:textId="77777777" w:rsidR="00E57209" w:rsidRDefault="00E57209">
      <w:pPr>
        <w:widowControl w:val="0"/>
        <w:rPr>
          <w:rFonts w:ascii="Calibri" w:eastAsia="SimSun" w:hAnsi="Calibri"/>
          <w:color w:val="000000"/>
          <w:kern w:val="1"/>
          <w:szCs w:val="20"/>
          <w:lang w:val="en-US"/>
        </w:rPr>
      </w:pPr>
    </w:p>
    <w:p w14:paraId="7331F572" w14:textId="77777777" w:rsidR="00297AE7" w:rsidRDefault="00590380">
      <w:pPr>
        <w:widowControl w:val="0"/>
        <w:rPr>
          <w:rFonts w:ascii="Calibri" w:eastAsia="SimSun" w:hAnsi="Calibri"/>
          <w:b/>
          <w:color w:val="000000"/>
          <w:kern w:val="1"/>
          <w:szCs w:val="20"/>
          <w:lang w:val="en-US"/>
        </w:rPr>
      </w:pPr>
      <w:r w:rsidRPr="00C51D5B">
        <w:rPr>
          <w:rFonts w:ascii="Calibri" w:eastAsia="SimSun" w:hAnsi="Calibri"/>
          <w:b/>
          <w:color w:val="000000"/>
          <w:kern w:val="1"/>
          <w:szCs w:val="20"/>
          <w:lang w:val="en-US"/>
        </w:rPr>
        <w:t>SARS-CoV-2</w:t>
      </w:r>
      <w:r>
        <w:rPr>
          <w:rFonts w:ascii="Calibri" w:eastAsia="SimSun" w:hAnsi="Calibri"/>
          <w:b/>
          <w:color w:val="000000"/>
          <w:kern w:val="1"/>
          <w:szCs w:val="20"/>
          <w:lang w:val="en-US"/>
        </w:rPr>
        <w:t xml:space="preserve"> prevalence measurement with minimal number of PCR tests </w:t>
      </w:r>
    </w:p>
    <w:p w14:paraId="5EA21CD5" w14:textId="77777777" w:rsidR="00297AE7" w:rsidRDefault="00297AE7">
      <w:pPr>
        <w:widowControl w:val="0"/>
        <w:rPr>
          <w:rFonts w:ascii="Calibri" w:eastAsia="SimSun" w:hAnsi="Calibri"/>
          <w:color w:val="000000"/>
          <w:kern w:val="1"/>
          <w:szCs w:val="20"/>
          <w:lang w:val="en-US"/>
        </w:rPr>
      </w:pPr>
    </w:p>
    <w:p w14:paraId="0C39127D" w14:textId="5E97D5E8" w:rsidR="00297AE7" w:rsidRDefault="00590380">
      <w:pPr>
        <w:widowControl w:val="0"/>
        <w:rPr>
          <w:rFonts w:ascii="Calibri" w:eastAsia="SimSun" w:hAnsi="Calibri"/>
          <w:color w:val="000000"/>
          <w:kern w:val="1"/>
          <w:szCs w:val="20"/>
          <w:lang w:val="en-US"/>
        </w:rPr>
      </w:pPr>
      <w:r>
        <w:rPr>
          <w:rFonts w:ascii="Calibri" w:eastAsia="SimSun" w:hAnsi="Calibri"/>
          <w:color w:val="000000"/>
          <w:kern w:val="1"/>
          <w:szCs w:val="20"/>
          <w:lang w:val="en-US"/>
        </w:rPr>
        <w:t xml:space="preserve">Determination of the prevalence of SARS-CoV-2 in the population is of high importance for a number of reasons. For instance, the “true” prevalence is a crucial input to epidemiologic modelling, and for monitoring the effect of social distancing and other measures to </w:t>
      </w:r>
      <w:r w:rsidR="00B111A3">
        <w:rPr>
          <w:rFonts w:ascii="Calibri" w:eastAsia="SimSun" w:hAnsi="Calibri"/>
          <w:color w:val="000000"/>
          <w:kern w:val="1"/>
          <w:szCs w:val="20"/>
          <w:lang w:val="en-US"/>
        </w:rPr>
        <w:t>suppress spread of SARS-CoV-2</w:t>
      </w:r>
      <w:r>
        <w:rPr>
          <w:rFonts w:ascii="Calibri" w:eastAsia="SimSun" w:hAnsi="Calibri"/>
          <w:color w:val="000000"/>
          <w:kern w:val="1"/>
          <w:szCs w:val="20"/>
          <w:lang w:val="en-US"/>
        </w:rPr>
        <w:t>.</w:t>
      </w:r>
      <w:r w:rsidR="00CD7CD6" w:rsidRPr="00CD7CD6">
        <w:rPr>
          <w:rFonts w:ascii="Calibri" w:eastAsia="SimSun" w:hAnsi="Calibri"/>
          <w:color w:val="000000"/>
          <w:kern w:val="1"/>
          <w:szCs w:val="20"/>
          <w:vertAlign w:val="superscript"/>
          <w:lang w:val="en-US"/>
        </w:rPr>
        <w:t>2</w:t>
      </w:r>
      <w:r>
        <w:rPr>
          <w:rFonts w:ascii="Calibri" w:eastAsia="SimSun" w:hAnsi="Calibri"/>
          <w:color w:val="000000"/>
          <w:kern w:val="1"/>
          <w:szCs w:val="20"/>
          <w:lang w:val="en-US"/>
        </w:rPr>
        <w:t xml:space="preserve"> By single-step pooled analysis, the number of PCR analyses necessary </w:t>
      </w:r>
      <w:proofErr w:type="gramStart"/>
      <w:r>
        <w:rPr>
          <w:rFonts w:ascii="Calibri" w:eastAsia="SimSun" w:hAnsi="Calibri"/>
          <w:color w:val="000000"/>
          <w:kern w:val="1"/>
          <w:szCs w:val="20"/>
          <w:lang w:val="en-US"/>
        </w:rPr>
        <w:t>is reduced</w:t>
      </w:r>
      <w:proofErr w:type="gramEnd"/>
      <w:r>
        <w:rPr>
          <w:rFonts w:ascii="Calibri" w:eastAsia="SimSun" w:hAnsi="Calibri"/>
          <w:color w:val="000000"/>
          <w:kern w:val="1"/>
          <w:szCs w:val="20"/>
          <w:lang w:val="en-US"/>
        </w:rPr>
        <w:t xml:space="preserve"> by a factor equal to the number of samples in each pool. An estimate of the prevalence </w:t>
      </w:r>
      <w:proofErr w:type="gramStart"/>
      <w:r>
        <w:rPr>
          <w:rFonts w:ascii="Calibri" w:eastAsia="SimSun" w:hAnsi="Calibri"/>
          <w:color w:val="000000"/>
          <w:kern w:val="1"/>
          <w:szCs w:val="20"/>
          <w:lang w:val="en-US"/>
        </w:rPr>
        <w:t>can be calculated</w:t>
      </w:r>
      <w:proofErr w:type="gramEnd"/>
      <w:r>
        <w:rPr>
          <w:rFonts w:ascii="Calibri" w:eastAsia="SimSun" w:hAnsi="Calibri"/>
          <w:color w:val="000000"/>
          <w:kern w:val="1"/>
          <w:szCs w:val="20"/>
          <w:lang w:val="en-US"/>
        </w:rPr>
        <w:t xml:space="preserve"> from the proportion of positive pools; it is not necessary to identify the exact number of positive samples in each pool. The technique </w:t>
      </w:r>
      <w:proofErr w:type="gramStart"/>
      <w:r>
        <w:rPr>
          <w:rFonts w:ascii="Calibri" w:eastAsia="SimSun" w:hAnsi="Calibri"/>
          <w:color w:val="000000"/>
          <w:kern w:val="1"/>
          <w:szCs w:val="20"/>
          <w:lang w:val="en-US"/>
        </w:rPr>
        <w:t>is wel</w:t>
      </w:r>
      <w:r w:rsidR="00B25D14">
        <w:rPr>
          <w:rFonts w:ascii="Calibri" w:eastAsia="SimSun" w:hAnsi="Calibri"/>
          <w:color w:val="000000"/>
          <w:kern w:val="1"/>
          <w:szCs w:val="20"/>
          <w:lang w:val="en-US"/>
        </w:rPr>
        <w:t>l described</w:t>
      </w:r>
      <w:proofErr w:type="gramEnd"/>
      <w:r w:rsidR="00B25D14">
        <w:rPr>
          <w:rFonts w:ascii="Calibri" w:eastAsia="SimSun" w:hAnsi="Calibri"/>
          <w:color w:val="000000"/>
          <w:kern w:val="1"/>
          <w:szCs w:val="20"/>
          <w:lang w:val="en-US"/>
        </w:rPr>
        <w:t xml:space="preserve"> in the literature</w:t>
      </w:r>
      <w:r w:rsidR="00CD7CD6" w:rsidRPr="00CD7CD6">
        <w:rPr>
          <w:rFonts w:ascii="Calibri" w:eastAsia="SimSun" w:hAnsi="Calibri"/>
          <w:color w:val="000000"/>
          <w:kern w:val="1"/>
          <w:szCs w:val="20"/>
          <w:vertAlign w:val="superscript"/>
          <w:lang w:val="en-US"/>
        </w:rPr>
        <w:t>3</w:t>
      </w:r>
      <w:r>
        <w:rPr>
          <w:rFonts w:ascii="Calibri" w:eastAsia="SimSun" w:hAnsi="Calibri"/>
          <w:color w:val="000000"/>
          <w:kern w:val="1"/>
          <w:szCs w:val="20"/>
          <w:lang w:val="en-US"/>
        </w:rPr>
        <w:t xml:space="preserve"> and corrects for the possibility that there is more than one positive sample in each positive pool. </w:t>
      </w:r>
      <w:r w:rsidR="00B25D14">
        <w:rPr>
          <w:rFonts w:ascii="Calibri" w:eastAsia="SimSun" w:hAnsi="Calibri"/>
          <w:color w:val="000000"/>
          <w:kern w:val="1"/>
          <w:szCs w:val="20"/>
          <w:lang w:val="en-US"/>
        </w:rPr>
        <w:t xml:space="preserve">Details about tools and methods </w:t>
      </w:r>
      <w:proofErr w:type="gramStart"/>
      <w:r w:rsidR="00B25D14">
        <w:rPr>
          <w:rFonts w:ascii="Calibri" w:eastAsia="SimSun" w:hAnsi="Calibri"/>
          <w:color w:val="000000"/>
          <w:kern w:val="1"/>
          <w:szCs w:val="20"/>
          <w:lang w:val="en-US"/>
        </w:rPr>
        <w:t>are given</w:t>
      </w:r>
      <w:proofErr w:type="gramEnd"/>
      <w:r w:rsidR="00B25D14">
        <w:rPr>
          <w:rFonts w:ascii="Calibri" w:eastAsia="SimSun" w:hAnsi="Calibri"/>
          <w:color w:val="000000"/>
          <w:kern w:val="1"/>
          <w:szCs w:val="20"/>
          <w:lang w:val="en-US"/>
        </w:rPr>
        <w:t xml:space="preserve"> in the supplementary material. </w:t>
      </w:r>
      <w:proofErr w:type="gramStart"/>
      <w:r>
        <w:rPr>
          <w:rFonts w:ascii="Calibri" w:eastAsia="SimSun" w:hAnsi="Calibri"/>
          <w:color w:val="000000"/>
          <w:kern w:val="1"/>
          <w:szCs w:val="20"/>
          <w:lang w:val="en-US"/>
        </w:rPr>
        <w:t>To further reduce</w:t>
      </w:r>
      <w:proofErr w:type="gramEnd"/>
      <w:r>
        <w:rPr>
          <w:rFonts w:ascii="Calibri" w:eastAsia="SimSun" w:hAnsi="Calibri"/>
          <w:color w:val="000000"/>
          <w:kern w:val="1"/>
          <w:szCs w:val="20"/>
          <w:lang w:val="en-US"/>
        </w:rPr>
        <w:t xml:space="preserve"> the number of required PCR analyses, a higher degree of pooling can be employed, even if the corresponding reduction in sensitivity would be considered unacceptable for diagnostic purposes. For prevalence estimation the reduced sensitivity is, however, straightforward to correct for, as long as it is known. </w:t>
      </w:r>
      <w:proofErr w:type="spellStart"/>
      <w:r>
        <w:rPr>
          <w:rFonts w:ascii="Calibri" w:eastAsia="SimSun" w:hAnsi="Calibri"/>
          <w:color w:val="000000"/>
          <w:kern w:val="1"/>
          <w:szCs w:val="20"/>
          <w:lang w:val="en-US"/>
        </w:rPr>
        <w:t>Yelin</w:t>
      </w:r>
      <w:proofErr w:type="spellEnd"/>
      <w:r>
        <w:rPr>
          <w:rFonts w:ascii="Calibri" w:eastAsia="SimSun" w:hAnsi="Calibri"/>
          <w:color w:val="000000"/>
          <w:kern w:val="1"/>
          <w:szCs w:val="20"/>
          <w:lang w:val="en-US"/>
        </w:rPr>
        <w:t xml:space="preserve"> et </w:t>
      </w:r>
      <w:proofErr w:type="gramStart"/>
      <w:r>
        <w:rPr>
          <w:rFonts w:ascii="Calibri" w:eastAsia="SimSun" w:hAnsi="Calibri"/>
          <w:color w:val="000000"/>
          <w:kern w:val="1"/>
          <w:szCs w:val="20"/>
          <w:lang w:val="en-US"/>
        </w:rPr>
        <w:t>al.</w:t>
      </w:r>
      <w:r w:rsidR="00CD7CD6" w:rsidRPr="00CD7CD6">
        <w:rPr>
          <w:rFonts w:ascii="Calibri" w:eastAsia="SimSun" w:hAnsi="Calibri"/>
          <w:color w:val="000000"/>
          <w:kern w:val="1"/>
          <w:szCs w:val="20"/>
          <w:vertAlign w:val="superscript"/>
          <w:lang w:val="en-US"/>
        </w:rPr>
        <w:t>1</w:t>
      </w:r>
      <w:r>
        <w:rPr>
          <w:rFonts w:ascii="Calibri" w:eastAsia="SimSun" w:hAnsi="Calibri"/>
          <w:color w:val="000000"/>
          <w:kern w:val="1"/>
          <w:szCs w:val="20"/>
          <w:lang w:val="en-US"/>
        </w:rPr>
        <w:t xml:space="preserve">  have</w:t>
      </w:r>
      <w:proofErr w:type="gramEnd"/>
      <w:r>
        <w:rPr>
          <w:rFonts w:ascii="Calibri" w:eastAsia="SimSun" w:hAnsi="Calibri"/>
          <w:color w:val="000000"/>
          <w:kern w:val="1"/>
          <w:szCs w:val="20"/>
          <w:lang w:val="en-US"/>
        </w:rPr>
        <w:t xml:space="preserve"> indicated that with pooling of 32 samples the sensitivity is 90% (10% false negative rate), relative to that of single sample analysis. With this degree of </w:t>
      </w:r>
      <w:proofErr w:type="gramStart"/>
      <w:r>
        <w:rPr>
          <w:rFonts w:ascii="Calibri" w:eastAsia="SimSun" w:hAnsi="Calibri"/>
          <w:color w:val="000000"/>
          <w:kern w:val="1"/>
          <w:szCs w:val="20"/>
          <w:lang w:val="en-US"/>
        </w:rPr>
        <w:t>pooling</w:t>
      </w:r>
      <w:proofErr w:type="gramEnd"/>
      <w:r>
        <w:rPr>
          <w:rFonts w:ascii="Calibri" w:eastAsia="SimSun" w:hAnsi="Calibri"/>
          <w:color w:val="000000"/>
          <w:kern w:val="1"/>
          <w:szCs w:val="20"/>
          <w:lang w:val="en-US"/>
        </w:rPr>
        <w:t xml:space="preserve"> it would take 200 PCR tests to estimate the prevalence from a dataset of 6400 individual samples. Figure </w:t>
      </w:r>
      <w:r w:rsidR="00006647">
        <w:rPr>
          <w:rFonts w:ascii="Calibri" w:eastAsia="SimSun" w:hAnsi="Calibri"/>
          <w:color w:val="000000"/>
          <w:kern w:val="1"/>
          <w:szCs w:val="20"/>
          <w:lang w:val="en-US"/>
        </w:rPr>
        <w:t>S</w:t>
      </w:r>
      <w:r w:rsidR="00B25D14">
        <w:rPr>
          <w:rFonts w:ascii="Calibri" w:eastAsia="SimSun" w:hAnsi="Calibri"/>
          <w:color w:val="000000"/>
          <w:kern w:val="1"/>
          <w:szCs w:val="20"/>
          <w:lang w:val="en-US"/>
        </w:rPr>
        <w:t xml:space="preserve">1 in the supplementary material </w:t>
      </w:r>
      <w:r>
        <w:rPr>
          <w:rFonts w:ascii="Calibri" w:eastAsia="SimSun" w:hAnsi="Calibri"/>
          <w:color w:val="000000"/>
          <w:kern w:val="1"/>
          <w:szCs w:val="20"/>
          <w:lang w:val="en-US"/>
        </w:rPr>
        <w:t>indicate</w:t>
      </w:r>
      <w:r w:rsidR="00006647">
        <w:rPr>
          <w:rFonts w:ascii="Calibri" w:eastAsia="SimSun" w:hAnsi="Calibri"/>
          <w:color w:val="000000"/>
          <w:kern w:val="1"/>
          <w:szCs w:val="20"/>
          <w:lang w:val="en-US"/>
        </w:rPr>
        <w:t>s</w:t>
      </w:r>
      <w:r>
        <w:rPr>
          <w:rFonts w:ascii="Calibri" w:eastAsia="SimSun" w:hAnsi="Calibri"/>
          <w:color w:val="000000"/>
          <w:kern w:val="1"/>
          <w:szCs w:val="20"/>
          <w:lang w:val="en-US"/>
        </w:rPr>
        <w:t xml:space="preserve"> the 90% confiden</w:t>
      </w:r>
      <w:r w:rsidR="00B25D14">
        <w:rPr>
          <w:rFonts w:ascii="Calibri" w:eastAsia="SimSun" w:hAnsi="Calibri"/>
          <w:color w:val="000000"/>
          <w:kern w:val="1"/>
          <w:szCs w:val="20"/>
          <w:lang w:val="en-US"/>
        </w:rPr>
        <w:t xml:space="preserve">ce intervals </w:t>
      </w:r>
      <w:r>
        <w:rPr>
          <w:rFonts w:ascii="Calibri" w:eastAsia="SimSun" w:hAnsi="Calibri"/>
          <w:color w:val="000000"/>
          <w:kern w:val="1"/>
          <w:szCs w:val="20"/>
          <w:lang w:val="en-US"/>
        </w:rPr>
        <w:t xml:space="preserve">for </w:t>
      </w:r>
      <w:r w:rsidR="00B25D14">
        <w:rPr>
          <w:rFonts w:ascii="Calibri" w:eastAsia="SimSun" w:hAnsi="Calibri"/>
          <w:color w:val="000000"/>
          <w:kern w:val="1"/>
          <w:szCs w:val="20"/>
          <w:lang w:val="en-US"/>
        </w:rPr>
        <w:t xml:space="preserve">various </w:t>
      </w:r>
      <w:r>
        <w:rPr>
          <w:rFonts w:ascii="Calibri" w:eastAsia="SimSun" w:hAnsi="Calibri"/>
          <w:color w:val="000000"/>
          <w:kern w:val="1"/>
          <w:szCs w:val="20"/>
          <w:lang w:val="en-US"/>
        </w:rPr>
        <w:t>sample sizes</w:t>
      </w:r>
      <w:r w:rsidR="00B25D14">
        <w:rPr>
          <w:rFonts w:ascii="Calibri" w:eastAsia="SimSun" w:hAnsi="Calibri"/>
          <w:color w:val="000000"/>
          <w:kern w:val="1"/>
          <w:szCs w:val="20"/>
          <w:lang w:val="en-US"/>
        </w:rPr>
        <w:t xml:space="preserve">, degree of pooling and </w:t>
      </w:r>
      <w:proofErr w:type="spellStart"/>
      <w:r w:rsidR="00B25D14">
        <w:rPr>
          <w:rFonts w:ascii="Calibri" w:eastAsia="SimSun" w:hAnsi="Calibri"/>
          <w:color w:val="000000"/>
          <w:kern w:val="1"/>
          <w:szCs w:val="20"/>
          <w:lang w:val="en-US"/>
        </w:rPr>
        <w:t>prevalences</w:t>
      </w:r>
      <w:proofErr w:type="spellEnd"/>
      <w:r>
        <w:rPr>
          <w:rFonts w:ascii="Calibri" w:eastAsia="SimSun" w:hAnsi="Calibri"/>
          <w:color w:val="000000"/>
          <w:kern w:val="1"/>
          <w:szCs w:val="20"/>
          <w:lang w:val="en-US"/>
        </w:rPr>
        <w:t xml:space="preserve">. </w:t>
      </w:r>
    </w:p>
    <w:p w14:paraId="04870999" w14:textId="08A41FFE" w:rsidR="00297AE7" w:rsidRDefault="00297AE7">
      <w:pPr>
        <w:widowControl w:val="0"/>
        <w:rPr>
          <w:rFonts w:ascii="Calibri" w:eastAsia="SimSun" w:hAnsi="Calibri"/>
          <w:color w:val="000000"/>
          <w:kern w:val="1"/>
          <w:szCs w:val="20"/>
          <w:lang w:val="en-US"/>
        </w:rPr>
      </w:pPr>
    </w:p>
    <w:p w14:paraId="1B6BF84A" w14:textId="77777777" w:rsidR="00E57209" w:rsidRDefault="00E57209">
      <w:pPr>
        <w:widowControl w:val="0"/>
        <w:rPr>
          <w:rFonts w:ascii="Calibri" w:eastAsia="SimSun" w:hAnsi="Calibri"/>
          <w:color w:val="000000"/>
          <w:kern w:val="1"/>
          <w:szCs w:val="20"/>
          <w:lang w:val="en-US"/>
        </w:rPr>
      </w:pPr>
    </w:p>
    <w:p w14:paraId="4B87F14C" w14:textId="77777777" w:rsidR="00C51D5B" w:rsidRDefault="00C51D5B" w:rsidP="00C51D5B">
      <w:pPr>
        <w:widowControl w:val="0"/>
        <w:rPr>
          <w:rFonts w:ascii="Calibri" w:eastAsia="SimSun" w:hAnsi="Calibri"/>
          <w:b/>
          <w:bCs/>
          <w:color w:val="000000"/>
          <w:kern w:val="1"/>
          <w:szCs w:val="20"/>
          <w:lang w:val="en-US"/>
        </w:rPr>
      </w:pPr>
      <w:r>
        <w:rPr>
          <w:rFonts w:ascii="Calibri" w:eastAsia="SimSun" w:hAnsi="Calibri"/>
          <w:b/>
          <w:bCs/>
          <w:color w:val="000000"/>
          <w:kern w:val="1"/>
          <w:szCs w:val="20"/>
          <w:lang w:val="en-US"/>
        </w:rPr>
        <w:t xml:space="preserve">Maximizing the number of detected cases when screening in a low prevalence population </w:t>
      </w:r>
    </w:p>
    <w:p w14:paraId="3940CBB9" w14:textId="77777777" w:rsidR="00297AE7" w:rsidRDefault="00297AE7">
      <w:pPr>
        <w:widowControl w:val="0"/>
        <w:rPr>
          <w:rFonts w:ascii="Calibri" w:eastAsia="SimSun" w:hAnsi="Calibri"/>
          <w:b/>
          <w:bCs/>
          <w:color w:val="000000"/>
          <w:kern w:val="1"/>
          <w:szCs w:val="20"/>
          <w:lang w:val="en-US"/>
        </w:rPr>
      </w:pPr>
    </w:p>
    <w:p w14:paraId="05D44D41" w14:textId="185060A2" w:rsidR="00297AE7" w:rsidRDefault="00590380">
      <w:pPr>
        <w:widowControl w:val="0"/>
        <w:rPr>
          <w:rFonts w:ascii="Calibri" w:eastAsia="SimSun" w:hAnsi="Calibri"/>
          <w:bCs/>
          <w:color w:val="000000"/>
          <w:kern w:val="1"/>
          <w:szCs w:val="20"/>
          <w:lang w:val="en-US"/>
        </w:rPr>
      </w:pPr>
      <w:r>
        <w:rPr>
          <w:rFonts w:ascii="Calibri" w:eastAsia="SimSun" w:hAnsi="Calibri"/>
          <w:bCs/>
          <w:color w:val="000000"/>
          <w:kern w:val="1"/>
          <w:szCs w:val="20"/>
          <w:lang w:val="en-US"/>
        </w:rPr>
        <w:t>The most common purpose of pooled testing is to analyze as many samples as possible with a given laboratory capacity and maintain a diagnostic level of sensitivity. Further, to combat the current covid-19 epidemic many countries are adapting a “suppression” strategy as recommended by Ferguson et al.</w:t>
      </w:r>
      <w:r w:rsidR="00B25D14">
        <w:rPr>
          <w:rFonts w:ascii="Calibri" w:eastAsia="SimSun" w:hAnsi="Calibri"/>
          <w:bCs/>
          <w:color w:val="000000"/>
          <w:kern w:val="1"/>
          <w:szCs w:val="20"/>
          <w:lang w:val="en-US"/>
        </w:rPr>
        <w:t xml:space="preserve"> </w:t>
      </w:r>
      <w:r w:rsidR="00B25D14" w:rsidRPr="00CD7CD6">
        <w:rPr>
          <w:rFonts w:ascii="Calibri" w:eastAsia="SimSun" w:hAnsi="Calibri"/>
          <w:bCs/>
          <w:color w:val="000000"/>
          <w:kern w:val="1"/>
          <w:szCs w:val="20"/>
          <w:vertAlign w:val="superscript"/>
          <w:lang w:val="en-US"/>
        </w:rPr>
        <w:t>2</w:t>
      </w:r>
      <w:r w:rsidR="00B25D14">
        <w:rPr>
          <w:rFonts w:ascii="Calibri" w:eastAsia="SimSun" w:hAnsi="Calibri"/>
          <w:bCs/>
          <w:color w:val="000000"/>
          <w:kern w:val="1"/>
          <w:szCs w:val="20"/>
          <w:lang w:val="en-US"/>
        </w:rPr>
        <w:t xml:space="preserve"> and WHO</w:t>
      </w:r>
      <w:r>
        <w:rPr>
          <w:rFonts w:ascii="Calibri" w:eastAsia="SimSun" w:hAnsi="Calibri"/>
          <w:bCs/>
          <w:color w:val="000000"/>
          <w:kern w:val="1"/>
          <w:szCs w:val="20"/>
          <w:lang w:val="en-US"/>
        </w:rPr>
        <w:t>.</w:t>
      </w:r>
      <w:r w:rsidR="00CD7CD6" w:rsidRPr="00CD7CD6">
        <w:rPr>
          <w:rFonts w:ascii="Calibri" w:eastAsia="SimSun" w:hAnsi="Calibri"/>
          <w:bCs/>
          <w:color w:val="000000"/>
          <w:kern w:val="1"/>
          <w:szCs w:val="20"/>
          <w:vertAlign w:val="superscript"/>
          <w:lang w:val="en-US"/>
        </w:rPr>
        <w:t>4</w:t>
      </w:r>
      <w:r>
        <w:rPr>
          <w:rFonts w:ascii="Calibri" w:eastAsia="SimSun" w:hAnsi="Calibri"/>
          <w:bCs/>
          <w:color w:val="000000"/>
          <w:kern w:val="1"/>
          <w:szCs w:val="20"/>
          <w:lang w:val="en-US"/>
        </w:rPr>
        <w:t xml:space="preserve"> The basic idea of this strategy is, after a period of aggressive social distancing measures, to do extensive testing, case tracing and isolation to keep the prevalence at a low level until a vaccine becomes available.</w:t>
      </w:r>
      <w:r w:rsidR="00BA63F1">
        <w:rPr>
          <w:rFonts w:ascii="Calibri" w:eastAsia="SimSun" w:hAnsi="Calibri"/>
          <w:bCs/>
          <w:color w:val="000000"/>
          <w:kern w:val="1"/>
          <w:szCs w:val="20"/>
          <w:lang w:val="en-US"/>
        </w:rPr>
        <w:t xml:space="preserve"> In this </w:t>
      </w:r>
      <w:proofErr w:type="gramStart"/>
      <w:r w:rsidR="00BA63F1">
        <w:rPr>
          <w:rFonts w:ascii="Calibri" w:eastAsia="SimSun" w:hAnsi="Calibri"/>
          <w:bCs/>
          <w:color w:val="000000"/>
          <w:kern w:val="1"/>
          <w:szCs w:val="20"/>
          <w:lang w:val="en-US"/>
        </w:rPr>
        <w:t>context</w:t>
      </w:r>
      <w:proofErr w:type="gramEnd"/>
      <w:r w:rsidR="00BA63F1">
        <w:rPr>
          <w:rFonts w:ascii="Calibri" w:eastAsia="SimSun" w:hAnsi="Calibri"/>
          <w:bCs/>
          <w:color w:val="000000"/>
          <w:kern w:val="1"/>
          <w:szCs w:val="20"/>
          <w:lang w:val="en-US"/>
        </w:rPr>
        <w:t xml:space="preserve"> it is important </w:t>
      </w:r>
      <w:r>
        <w:rPr>
          <w:rFonts w:ascii="Calibri" w:eastAsia="SimSun" w:hAnsi="Calibri"/>
          <w:bCs/>
          <w:color w:val="000000"/>
          <w:kern w:val="1"/>
          <w:szCs w:val="20"/>
          <w:lang w:val="en-US"/>
        </w:rPr>
        <w:t>to maximize the number of infected people detected with the available testing resources, rather than to insist that all tests from the community setting are being performed with the highest level of sensitivity. Currently, the limited literature indicates that with a pool size of 32 the sensitivity drops to around 90%.</w:t>
      </w:r>
      <w:r w:rsidR="00CD7CD6" w:rsidRPr="00CD7CD6">
        <w:rPr>
          <w:rFonts w:ascii="Calibri" w:eastAsia="SimSun" w:hAnsi="Calibri"/>
          <w:bCs/>
          <w:color w:val="000000"/>
          <w:kern w:val="1"/>
          <w:szCs w:val="20"/>
          <w:vertAlign w:val="superscript"/>
          <w:lang w:val="en-US"/>
        </w:rPr>
        <w:t>1</w:t>
      </w:r>
      <w:r>
        <w:rPr>
          <w:rFonts w:ascii="Calibri" w:eastAsia="SimSun" w:hAnsi="Calibri"/>
          <w:bCs/>
          <w:color w:val="000000"/>
          <w:kern w:val="1"/>
          <w:szCs w:val="20"/>
          <w:lang w:val="en-US"/>
        </w:rPr>
        <w:t xml:space="preserve"> </w:t>
      </w:r>
      <w:proofErr w:type="gramStart"/>
      <w:r>
        <w:rPr>
          <w:rFonts w:ascii="Calibri" w:eastAsia="SimSun" w:hAnsi="Calibri"/>
          <w:bCs/>
          <w:color w:val="000000"/>
          <w:kern w:val="1"/>
          <w:szCs w:val="20"/>
          <w:lang w:val="en-US"/>
        </w:rPr>
        <w:t>When</w:t>
      </w:r>
      <w:proofErr w:type="gramEnd"/>
      <w:r>
        <w:rPr>
          <w:rFonts w:ascii="Calibri" w:eastAsia="SimSun" w:hAnsi="Calibri"/>
          <w:bCs/>
          <w:color w:val="000000"/>
          <w:kern w:val="1"/>
          <w:szCs w:val="20"/>
          <w:lang w:val="en-US"/>
        </w:rPr>
        <w:t xml:space="preserve"> used for population screening pooling </w:t>
      </w:r>
      <w:r>
        <w:rPr>
          <w:rFonts w:ascii="Calibri" w:eastAsia="SimSun" w:hAnsi="Calibri"/>
          <w:bCs/>
          <w:color w:val="000000"/>
          <w:kern w:val="1"/>
          <w:szCs w:val="20"/>
          <w:lang w:val="en-US"/>
        </w:rPr>
        <w:lastRenderedPageBreak/>
        <w:t xml:space="preserve">of 32 samples will nevertheless allow for detection of far </w:t>
      </w:r>
      <w:bookmarkStart w:id="0" w:name="_GoBack"/>
      <w:bookmarkEnd w:id="0"/>
      <w:r>
        <w:rPr>
          <w:rFonts w:ascii="Calibri" w:eastAsia="SimSun" w:hAnsi="Calibri"/>
          <w:bCs/>
          <w:color w:val="000000"/>
          <w:kern w:val="1"/>
          <w:szCs w:val="20"/>
          <w:lang w:val="en-US"/>
        </w:rPr>
        <w:t>more infected people than for the same number of PCR tests if using one test per person. If screening a population with a prevalence of 0.005 and using pool</w:t>
      </w:r>
      <w:r w:rsidR="00C51D5B">
        <w:rPr>
          <w:rFonts w:ascii="Calibri" w:eastAsia="SimSun" w:hAnsi="Calibri"/>
          <w:bCs/>
          <w:color w:val="000000"/>
          <w:kern w:val="1"/>
          <w:szCs w:val="20"/>
          <w:lang w:val="en-US"/>
        </w:rPr>
        <w:t xml:space="preserve">ing of eight samples a mean of around </w:t>
      </w:r>
      <w:r>
        <w:rPr>
          <w:rFonts w:ascii="Calibri" w:eastAsia="SimSun" w:hAnsi="Calibri"/>
          <w:bCs/>
          <w:color w:val="000000"/>
          <w:kern w:val="1"/>
          <w:szCs w:val="20"/>
          <w:lang w:val="en-US"/>
        </w:rPr>
        <w:t xml:space="preserve">6000 people </w:t>
      </w:r>
      <w:proofErr w:type="gramStart"/>
      <w:r>
        <w:rPr>
          <w:rFonts w:ascii="Calibri" w:eastAsia="SimSun" w:hAnsi="Calibri"/>
          <w:bCs/>
          <w:color w:val="000000"/>
          <w:kern w:val="1"/>
          <w:szCs w:val="20"/>
          <w:lang w:val="en-US"/>
        </w:rPr>
        <w:t>can be screened</w:t>
      </w:r>
      <w:proofErr w:type="gramEnd"/>
      <w:r>
        <w:rPr>
          <w:rFonts w:ascii="Calibri" w:eastAsia="SimSun" w:hAnsi="Calibri"/>
          <w:bCs/>
          <w:color w:val="000000"/>
          <w:kern w:val="1"/>
          <w:szCs w:val="20"/>
          <w:lang w:val="en-US"/>
        </w:rPr>
        <w:t xml:space="preserve"> and a mean of 30 cases detected using 1000 PCR tests. B</w:t>
      </w:r>
      <w:r w:rsidR="00C51D5B">
        <w:rPr>
          <w:rFonts w:ascii="Calibri" w:eastAsia="SimSun" w:hAnsi="Calibri"/>
          <w:bCs/>
          <w:color w:val="000000"/>
          <w:kern w:val="1"/>
          <w:szCs w:val="20"/>
          <w:lang w:val="en-US"/>
        </w:rPr>
        <w:t xml:space="preserve">y pooling 32 samples, however, </w:t>
      </w:r>
      <w:r>
        <w:rPr>
          <w:rFonts w:ascii="Calibri" w:eastAsia="SimSun" w:hAnsi="Calibri"/>
          <w:bCs/>
          <w:color w:val="000000"/>
          <w:kern w:val="1"/>
          <w:szCs w:val="20"/>
          <w:lang w:val="en-US"/>
        </w:rPr>
        <w:t>11</w:t>
      </w:r>
      <w:r w:rsidR="00C51D5B">
        <w:rPr>
          <w:rFonts w:ascii="Calibri" w:eastAsia="SimSun" w:hAnsi="Calibri"/>
          <w:bCs/>
          <w:color w:val="000000"/>
          <w:kern w:val="1"/>
          <w:szCs w:val="20"/>
          <w:lang w:val="en-US"/>
        </w:rPr>
        <w:t xml:space="preserve">300 people </w:t>
      </w:r>
      <w:proofErr w:type="gramStart"/>
      <w:r w:rsidR="00C51D5B">
        <w:rPr>
          <w:rFonts w:ascii="Calibri" w:eastAsia="SimSun" w:hAnsi="Calibri"/>
          <w:bCs/>
          <w:color w:val="000000"/>
          <w:kern w:val="1"/>
          <w:szCs w:val="20"/>
          <w:lang w:val="en-US"/>
        </w:rPr>
        <w:t>can be screened</w:t>
      </w:r>
      <w:proofErr w:type="gramEnd"/>
      <w:r w:rsidR="00C51D5B">
        <w:rPr>
          <w:rFonts w:ascii="Calibri" w:eastAsia="SimSun" w:hAnsi="Calibri"/>
          <w:bCs/>
          <w:color w:val="000000"/>
          <w:kern w:val="1"/>
          <w:szCs w:val="20"/>
          <w:lang w:val="en-US"/>
        </w:rPr>
        <w:t xml:space="preserve"> and a mean of </w:t>
      </w:r>
      <w:r>
        <w:rPr>
          <w:rFonts w:ascii="Calibri" w:eastAsia="SimSun" w:hAnsi="Calibri"/>
          <w:bCs/>
          <w:color w:val="000000"/>
          <w:kern w:val="1"/>
          <w:szCs w:val="20"/>
          <w:lang w:val="en-US"/>
        </w:rPr>
        <w:t>51 cases detect</w:t>
      </w:r>
      <w:r w:rsidR="00BA63F1">
        <w:rPr>
          <w:rFonts w:ascii="Calibri" w:eastAsia="SimSun" w:hAnsi="Calibri"/>
          <w:bCs/>
          <w:color w:val="000000"/>
          <w:kern w:val="1"/>
          <w:szCs w:val="20"/>
          <w:lang w:val="en-US"/>
        </w:rPr>
        <w:t>ed with the same 1000 PCR tests</w:t>
      </w:r>
      <w:r>
        <w:rPr>
          <w:rFonts w:ascii="Calibri" w:eastAsia="SimSun" w:hAnsi="Calibri"/>
          <w:bCs/>
          <w:color w:val="000000"/>
          <w:kern w:val="1"/>
          <w:szCs w:val="20"/>
          <w:lang w:val="en-US"/>
        </w:rPr>
        <w:t xml:space="preserve">. Figure </w:t>
      </w:r>
      <w:r w:rsidR="00BA63F1">
        <w:rPr>
          <w:rFonts w:ascii="Calibri" w:eastAsia="SimSun" w:hAnsi="Calibri"/>
          <w:bCs/>
          <w:color w:val="000000"/>
          <w:kern w:val="1"/>
          <w:szCs w:val="20"/>
          <w:lang w:val="en-US"/>
        </w:rPr>
        <w:t>S</w:t>
      </w:r>
      <w:r w:rsidR="00006647">
        <w:rPr>
          <w:rFonts w:ascii="Calibri" w:eastAsia="SimSun" w:hAnsi="Calibri"/>
          <w:bCs/>
          <w:color w:val="000000"/>
          <w:kern w:val="1"/>
          <w:szCs w:val="20"/>
          <w:lang w:val="en-US"/>
        </w:rPr>
        <w:t>2</w:t>
      </w:r>
      <w:r>
        <w:rPr>
          <w:rFonts w:ascii="Calibri" w:eastAsia="SimSun" w:hAnsi="Calibri"/>
          <w:bCs/>
          <w:color w:val="000000"/>
          <w:kern w:val="1"/>
          <w:szCs w:val="20"/>
          <w:lang w:val="en-US"/>
        </w:rPr>
        <w:t xml:space="preserve"> show</w:t>
      </w:r>
      <w:r w:rsidR="00006647">
        <w:rPr>
          <w:rFonts w:ascii="Calibri" w:eastAsia="SimSun" w:hAnsi="Calibri"/>
          <w:bCs/>
          <w:color w:val="000000"/>
          <w:kern w:val="1"/>
          <w:szCs w:val="20"/>
          <w:lang w:val="en-US"/>
        </w:rPr>
        <w:t>s</w:t>
      </w:r>
      <w:r>
        <w:rPr>
          <w:rFonts w:ascii="Calibri" w:eastAsia="SimSun" w:hAnsi="Calibri"/>
          <w:bCs/>
          <w:color w:val="000000"/>
          <w:kern w:val="1"/>
          <w:szCs w:val="20"/>
          <w:lang w:val="en-US"/>
        </w:rPr>
        <w:t xml:space="preserve"> the corresponding numbers for a range of prevalence values in the screened population</w:t>
      </w:r>
      <w:r w:rsidRPr="00C51D5B">
        <w:rPr>
          <w:rFonts w:ascii="Calibri" w:eastAsia="SimSun" w:hAnsi="Calibri"/>
          <w:bCs/>
          <w:color w:val="000000"/>
          <w:kern w:val="1"/>
          <w:szCs w:val="20"/>
          <w:lang w:val="en-US"/>
        </w:rPr>
        <w:t xml:space="preserve">. It appears that if using this approach </w:t>
      </w:r>
      <w:r w:rsidR="00193609">
        <w:rPr>
          <w:rFonts w:ascii="Calibri" w:eastAsia="SimSun" w:hAnsi="Calibri"/>
          <w:bCs/>
          <w:color w:val="000000"/>
          <w:kern w:val="1"/>
          <w:szCs w:val="20"/>
          <w:lang w:val="en-US"/>
        </w:rPr>
        <w:t>some</w:t>
      </w:r>
      <w:r w:rsidR="00193609" w:rsidRPr="00C51D5B">
        <w:rPr>
          <w:rFonts w:ascii="Calibri" w:eastAsia="SimSun" w:hAnsi="Calibri"/>
          <w:bCs/>
          <w:color w:val="000000"/>
          <w:kern w:val="1"/>
          <w:szCs w:val="20"/>
          <w:lang w:val="en-US"/>
        </w:rPr>
        <w:t xml:space="preserve"> </w:t>
      </w:r>
      <w:r w:rsidRPr="00C51D5B">
        <w:rPr>
          <w:rFonts w:ascii="Calibri" w:eastAsia="SimSun" w:hAnsi="Calibri"/>
          <w:bCs/>
          <w:color w:val="000000"/>
          <w:kern w:val="1"/>
          <w:szCs w:val="20"/>
          <w:lang w:val="en-US"/>
        </w:rPr>
        <w:t>high-income countries</w:t>
      </w:r>
      <w:r w:rsidR="00193609">
        <w:rPr>
          <w:rFonts w:ascii="Calibri" w:eastAsia="SimSun" w:hAnsi="Calibri"/>
          <w:bCs/>
          <w:color w:val="000000"/>
          <w:kern w:val="1"/>
          <w:szCs w:val="20"/>
          <w:lang w:val="en-US"/>
        </w:rPr>
        <w:t xml:space="preserve"> </w:t>
      </w:r>
      <w:r w:rsidRPr="00C51D5B">
        <w:rPr>
          <w:rFonts w:ascii="Calibri" w:eastAsia="SimSun" w:hAnsi="Calibri"/>
          <w:bCs/>
          <w:color w:val="000000"/>
          <w:kern w:val="1"/>
          <w:szCs w:val="20"/>
          <w:lang w:val="en-US"/>
        </w:rPr>
        <w:t xml:space="preserve">already </w:t>
      </w:r>
      <w:r w:rsidR="00193609">
        <w:rPr>
          <w:rFonts w:ascii="Calibri" w:eastAsia="SimSun" w:hAnsi="Calibri"/>
          <w:bCs/>
          <w:color w:val="000000"/>
          <w:kern w:val="1"/>
          <w:szCs w:val="20"/>
          <w:lang w:val="en-US"/>
        </w:rPr>
        <w:t xml:space="preserve">would </w:t>
      </w:r>
      <w:r w:rsidRPr="00C51D5B">
        <w:rPr>
          <w:rFonts w:ascii="Calibri" w:eastAsia="SimSun" w:hAnsi="Calibri"/>
          <w:bCs/>
          <w:color w:val="000000"/>
          <w:kern w:val="1"/>
          <w:szCs w:val="20"/>
          <w:lang w:val="en-US"/>
        </w:rPr>
        <w:t xml:space="preserve">have the PCR capacity needed to perform extensive screening of the public, if the prevalence </w:t>
      </w:r>
      <w:proofErr w:type="gramStart"/>
      <w:r w:rsidRPr="00C51D5B">
        <w:rPr>
          <w:rFonts w:ascii="Calibri" w:eastAsia="SimSun" w:hAnsi="Calibri"/>
          <w:bCs/>
          <w:color w:val="000000"/>
          <w:kern w:val="1"/>
          <w:szCs w:val="20"/>
          <w:lang w:val="en-US"/>
        </w:rPr>
        <w:t>is first suppressed</w:t>
      </w:r>
      <w:proofErr w:type="gramEnd"/>
      <w:r w:rsidRPr="00C51D5B">
        <w:rPr>
          <w:rFonts w:ascii="Calibri" w:eastAsia="SimSun" w:hAnsi="Calibri"/>
          <w:bCs/>
          <w:color w:val="000000"/>
          <w:kern w:val="1"/>
          <w:szCs w:val="20"/>
          <w:lang w:val="en-US"/>
        </w:rPr>
        <w:t xml:space="preserve"> to a low level with strong social distancing measures.</w:t>
      </w:r>
    </w:p>
    <w:p w14:paraId="3CA4704F" w14:textId="77777777" w:rsidR="00297AE7" w:rsidRDefault="00590380">
      <w:pPr>
        <w:widowControl w:val="0"/>
        <w:rPr>
          <w:rFonts w:ascii="Calibri" w:eastAsia="SimSun" w:hAnsi="Calibri"/>
          <w:bCs/>
          <w:color w:val="000000"/>
          <w:kern w:val="1"/>
          <w:szCs w:val="20"/>
          <w:lang w:val="en-US"/>
        </w:rPr>
      </w:pPr>
      <w:r w:rsidRPr="00B111A3">
        <w:rPr>
          <w:rFonts w:ascii="Calibri" w:eastAsia="SimSun" w:hAnsi="Calibri"/>
          <w:bCs/>
          <w:color w:val="000000"/>
          <w:kern w:val="1"/>
          <w:szCs w:val="20"/>
          <w:lang w:val="en-US"/>
        </w:rPr>
        <w:t xml:space="preserve">      </w:t>
      </w:r>
    </w:p>
    <w:p w14:paraId="0B755B4C" w14:textId="77777777" w:rsidR="00297AE7" w:rsidRDefault="00590380">
      <w:pPr>
        <w:widowControl w:val="0"/>
        <w:rPr>
          <w:rFonts w:ascii="Calibri" w:eastAsia="SimSun" w:hAnsi="Calibri"/>
          <w:bCs/>
          <w:color w:val="000000"/>
          <w:kern w:val="1"/>
          <w:szCs w:val="20"/>
          <w:lang w:val="en-US"/>
        </w:rPr>
      </w:pPr>
      <w:r>
        <w:rPr>
          <w:rFonts w:ascii="Calibri" w:eastAsia="SimSun" w:hAnsi="Calibri"/>
          <w:bCs/>
          <w:color w:val="000000"/>
          <w:kern w:val="1"/>
          <w:szCs w:val="20"/>
          <w:lang w:val="en-US"/>
        </w:rPr>
        <w:t xml:space="preserve">Limitations of both of the above suggested applications of extended pooling is that while the required number of PCR analysis is reduced, the number of samples to be collected is unchanged. Further, the relationship between pool size and test sensitivity is not yet fully established and might also vary between individual laboratories and various PCR protocols, and therefore have to be verified locally. </w:t>
      </w:r>
    </w:p>
    <w:p w14:paraId="303C28DC" w14:textId="77777777" w:rsidR="00297AE7" w:rsidRDefault="00297AE7">
      <w:pPr>
        <w:widowControl w:val="0"/>
        <w:rPr>
          <w:rFonts w:ascii="Calibri" w:eastAsia="SimSun" w:hAnsi="Calibri"/>
          <w:b/>
          <w:bCs/>
          <w:color w:val="000000"/>
          <w:kern w:val="1"/>
          <w:szCs w:val="20"/>
          <w:lang w:val="en-US"/>
        </w:rPr>
      </w:pPr>
    </w:p>
    <w:p w14:paraId="0EF846E2" w14:textId="77777777" w:rsidR="00297AE7" w:rsidRPr="009511E6" w:rsidRDefault="00590380">
      <w:pPr>
        <w:widowControl w:val="0"/>
        <w:rPr>
          <w:rFonts w:ascii="Calibri" w:eastAsia="SimSun" w:hAnsi="Calibri" w:cs="Calibri"/>
          <w:b/>
          <w:bCs/>
          <w:color w:val="000000"/>
          <w:kern w:val="1"/>
          <w:lang w:val="en-US"/>
        </w:rPr>
      </w:pPr>
      <w:r w:rsidRPr="009511E6">
        <w:rPr>
          <w:rFonts w:ascii="Calibri" w:eastAsia="SimSun" w:hAnsi="Calibri" w:cs="Calibri"/>
          <w:b/>
          <w:bCs/>
          <w:color w:val="000000"/>
          <w:kern w:val="1"/>
          <w:lang w:val="en-US"/>
        </w:rPr>
        <w:t>References</w:t>
      </w:r>
    </w:p>
    <w:p w14:paraId="63A36B29" w14:textId="244B36B8" w:rsidR="009511E6" w:rsidRDefault="009511E6">
      <w:pPr>
        <w:pBdr>
          <w:top w:val="nil"/>
          <w:left w:val="nil"/>
          <w:bottom w:val="nil"/>
          <w:right w:val="nil"/>
          <w:between w:val="nil"/>
        </w:pBdr>
        <w:shd w:val="solid" w:color="FFFFFF" w:fill="auto"/>
        <w:rPr>
          <w:rFonts w:ascii="Calibri" w:hAnsi="Calibri" w:cs="Calibri"/>
          <w:b/>
          <w:bCs/>
          <w:lang w:val="en-US"/>
        </w:rPr>
      </w:pPr>
    </w:p>
    <w:p w14:paraId="07C16151" w14:textId="59F28EE1" w:rsidR="00297AE7" w:rsidRPr="008F7600" w:rsidRDefault="00590380" w:rsidP="004136B2">
      <w:pPr>
        <w:pStyle w:val="Listeavsnitt"/>
        <w:numPr>
          <w:ilvl w:val="0"/>
          <w:numId w:val="2"/>
        </w:numPr>
        <w:pBdr>
          <w:top w:val="nil"/>
          <w:left w:val="nil"/>
          <w:bottom w:val="nil"/>
          <w:right w:val="nil"/>
          <w:between w:val="nil"/>
        </w:pBdr>
        <w:shd w:val="solid" w:color="FFFFFF" w:fill="auto"/>
        <w:ind w:left="284" w:hanging="284"/>
        <w:rPr>
          <w:rFonts w:ascii="Calibri" w:eastAsia="Times New Roman" w:hAnsi="Calibri" w:cs="Calibri"/>
          <w:lang w:val="en-US"/>
        </w:rPr>
      </w:pPr>
      <w:proofErr w:type="spellStart"/>
      <w:r w:rsidRPr="008F7600">
        <w:rPr>
          <w:rFonts w:ascii="Calibri" w:eastAsia="Times New Roman" w:hAnsi="Calibri" w:cs="Calibri"/>
        </w:rPr>
        <w:t>Yelin</w:t>
      </w:r>
      <w:proofErr w:type="spellEnd"/>
      <w:r w:rsidR="009511E6" w:rsidRPr="008F7600">
        <w:rPr>
          <w:rFonts w:ascii="Calibri" w:eastAsia="Times New Roman" w:hAnsi="Calibri" w:cs="Calibri"/>
        </w:rPr>
        <w:t xml:space="preserve"> I</w:t>
      </w:r>
      <w:r w:rsidRPr="008F7600">
        <w:rPr>
          <w:rFonts w:ascii="Calibri" w:eastAsia="Times New Roman" w:hAnsi="Calibri" w:cs="Calibri"/>
        </w:rPr>
        <w:t>, </w:t>
      </w:r>
      <w:proofErr w:type="spellStart"/>
      <w:r w:rsidRPr="008F7600">
        <w:rPr>
          <w:rFonts w:ascii="Calibri" w:eastAsia="Times New Roman" w:hAnsi="Calibri" w:cs="Calibri"/>
        </w:rPr>
        <w:t>Aharony</w:t>
      </w:r>
      <w:proofErr w:type="spellEnd"/>
      <w:r w:rsidR="009511E6" w:rsidRPr="008F7600">
        <w:rPr>
          <w:rFonts w:ascii="Calibri" w:eastAsia="Times New Roman" w:hAnsi="Calibri" w:cs="Calibri"/>
        </w:rPr>
        <w:t xml:space="preserve"> </w:t>
      </w:r>
      <w:proofErr w:type="gramStart"/>
      <w:r w:rsidR="009511E6" w:rsidRPr="008F7600">
        <w:rPr>
          <w:rFonts w:ascii="Calibri" w:eastAsia="Times New Roman" w:hAnsi="Calibri" w:cs="Calibri"/>
        </w:rPr>
        <w:t>N</w:t>
      </w:r>
      <w:r w:rsidRPr="008F7600">
        <w:rPr>
          <w:rFonts w:ascii="Calibri" w:eastAsia="Times New Roman" w:hAnsi="Calibri" w:cs="Calibri"/>
        </w:rPr>
        <w:t>,  </w:t>
      </w:r>
      <w:proofErr w:type="spellStart"/>
      <w:r w:rsidR="009511E6" w:rsidRPr="008F7600">
        <w:rPr>
          <w:rFonts w:ascii="Calibri" w:eastAsia="Times New Roman" w:hAnsi="Calibri" w:cs="Calibri"/>
        </w:rPr>
        <w:t>Shaer</w:t>
      </w:r>
      <w:proofErr w:type="gramEnd"/>
      <w:r w:rsidR="009511E6" w:rsidRPr="008F7600">
        <w:rPr>
          <w:rFonts w:ascii="Calibri" w:eastAsia="Times New Roman" w:hAnsi="Calibri" w:cs="Calibri"/>
        </w:rPr>
        <w:t>-</w:t>
      </w:r>
      <w:r w:rsidRPr="008F7600">
        <w:rPr>
          <w:rFonts w:ascii="Calibri" w:eastAsia="Times New Roman" w:hAnsi="Calibri" w:cs="Calibri"/>
        </w:rPr>
        <w:t>Tamar</w:t>
      </w:r>
      <w:proofErr w:type="spellEnd"/>
      <w:r w:rsidR="009511E6" w:rsidRPr="008F7600">
        <w:rPr>
          <w:rFonts w:ascii="Calibri" w:eastAsia="Times New Roman" w:hAnsi="Calibri" w:cs="Calibri"/>
        </w:rPr>
        <w:t xml:space="preserve"> E, et al.</w:t>
      </w:r>
      <w:r w:rsidRPr="008F7600">
        <w:rPr>
          <w:rFonts w:ascii="Calibri" w:eastAsia="Times New Roman" w:hAnsi="Calibri" w:cs="Calibri"/>
        </w:rPr>
        <w:t> </w:t>
      </w:r>
      <w:r w:rsidR="009511E6" w:rsidRPr="008F7600">
        <w:rPr>
          <w:rFonts w:ascii="Calibri" w:hAnsi="Calibri" w:cs="Calibri"/>
          <w:lang w:val="en-US"/>
        </w:rPr>
        <w:t xml:space="preserve">Evaluation of COVID-19 RT-qPCR test in multi-sample pools. </w:t>
      </w:r>
      <w:proofErr w:type="spellStart"/>
      <w:proofErr w:type="gramStart"/>
      <w:r w:rsidR="009511E6" w:rsidRPr="008F7600">
        <w:rPr>
          <w:rFonts w:ascii="Calibri" w:hAnsi="Calibri" w:cs="Calibri"/>
          <w:i/>
          <w:lang w:val="en-US"/>
        </w:rPr>
        <w:t>medRxiv</w:t>
      </w:r>
      <w:proofErr w:type="spellEnd"/>
      <w:proofErr w:type="gramEnd"/>
      <w:r w:rsidR="009511E6" w:rsidRPr="008F7600">
        <w:rPr>
          <w:rFonts w:ascii="Calibri" w:hAnsi="Calibri" w:cs="Calibri"/>
          <w:lang w:val="en-US"/>
        </w:rPr>
        <w:t xml:space="preserve"> </w:t>
      </w:r>
      <w:r w:rsidR="00D80452" w:rsidRPr="008F7600">
        <w:rPr>
          <w:rFonts w:ascii="Calibri" w:hAnsi="Calibri" w:cs="Calibri"/>
          <w:lang w:val="en-US"/>
        </w:rPr>
        <w:t>2020; published online March 27.</w:t>
      </w:r>
      <w:r w:rsidR="009511E6" w:rsidRPr="008F7600">
        <w:rPr>
          <w:rFonts w:ascii="Calibri" w:hAnsi="Calibri" w:cs="Calibri"/>
          <w:lang w:val="en-US"/>
        </w:rPr>
        <w:t xml:space="preserve"> </w:t>
      </w:r>
      <w:r w:rsidR="009511E6" w:rsidRPr="008F7600">
        <w:rPr>
          <w:rFonts w:ascii="Calibri" w:eastAsia="Times New Roman" w:hAnsi="Calibri" w:cs="Calibri"/>
          <w:bCs/>
          <w:lang w:val="en-US"/>
        </w:rPr>
        <w:t>DOI</w:t>
      </w:r>
      <w:proofErr w:type="gramStart"/>
      <w:r w:rsidRPr="008F7600">
        <w:rPr>
          <w:rFonts w:ascii="Calibri" w:eastAsia="Times New Roman" w:hAnsi="Calibri" w:cs="Calibri"/>
          <w:bCs/>
          <w:lang w:val="en-US"/>
        </w:rPr>
        <w:t>:</w:t>
      </w:r>
      <w:proofErr w:type="gramEnd"/>
      <w:r w:rsidR="00E57209">
        <w:fldChar w:fldCharType="begin"/>
      </w:r>
      <w:r w:rsidR="00E57209">
        <w:instrText xml:space="preserve"> HYPERLINK "https://doi.org/10.1101/2020.03.26.20039438" </w:instrText>
      </w:r>
      <w:r w:rsidR="00E57209">
        <w:fldChar w:fldCharType="separate"/>
      </w:r>
      <w:r w:rsidR="009511E6" w:rsidRPr="008F7600">
        <w:rPr>
          <w:rStyle w:val="Hyperkobling"/>
          <w:rFonts w:ascii="Calibri" w:eastAsia="Times New Roman" w:hAnsi="Calibri" w:cs="Calibri"/>
          <w:color w:val="auto"/>
          <w:u w:val="none"/>
          <w:lang w:val="en-US"/>
        </w:rPr>
        <w:t>10.1101/2020.03.26.20039438</w:t>
      </w:r>
      <w:r w:rsidR="00E57209">
        <w:rPr>
          <w:rStyle w:val="Hyperkobling"/>
          <w:rFonts w:ascii="Calibri" w:eastAsia="Times New Roman" w:hAnsi="Calibri" w:cs="Calibri"/>
          <w:color w:val="auto"/>
          <w:u w:val="none"/>
          <w:lang w:val="en-US"/>
        </w:rPr>
        <w:fldChar w:fldCharType="end"/>
      </w:r>
      <w:r w:rsidR="009511E6" w:rsidRPr="008F7600">
        <w:rPr>
          <w:rFonts w:ascii="Calibri" w:eastAsia="Times New Roman" w:hAnsi="Calibri" w:cs="Calibri"/>
          <w:lang w:val="en-US"/>
        </w:rPr>
        <w:t xml:space="preserve"> (preprint)</w:t>
      </w:r>
      <w:r w:rsidR="00D80452" w:rsidRPr="008F7600">
        <w:rPr>
          <w:rFonts w:ascii="Calibri" w:eastAsia="Times New Roman" w:hAnsi="Calibri" w:cs="Calibri"/>
          <w:lang w:val="en-US"/>
        </w:rPr>
        <w:t>.</w:t>
      </w:r>
    </w:p>
    <w:p w14:paraId="7C940C0F" w14:textId="77777777" w:rsidR="004D6DAD" w:rsidRPr="008F7600" w:rsidRDefault="004D6DAD" w:rsidP="004D6DAD">
      <w:pPr>
        <w:pStyle w:val="Listeavsnitt"/>
        <w:widowControl w:val="0"/>
        <w:numPr>
          <w:ilvl w:val="0"/>
          <w:numId w:val="2"/>
        </w:numPr>
        <w:pBdr>
          <w:top w:val="nil"/>
          <w:left w:val="nil"/>
          <w:bottom w:val="nil"/>
          <w:right w:val="nil"/>
          <w:between w:val="nil"/>
        </w:pBdr>
        <w:shd w:val="solid" w:color="FFFFFF" w:fill="auto"/>
        <w:ind w:left="284" w:hanging="284"/>
        <w:rPr>
          <w:rFonts w:ascii="Calibri" w:hAnsi="Calibri" w:cs="Calibri"/>
          <w:lang w:val="en-US"/>
        </w:rPr>
      </w:pPr>
      <w:r w:rsidRPr="008F7600">
        <w:rPr>
          <w:rFonts w:ascii="Calibri" w:hAnsi="Calibri" w:cs="Calibri"/>
        </w:rPr>
        <w:t xml:space="preserve">Ferguson NM, </w:t>
      </w:r>
      <w:proofErr w:type="spellStart"/>
      <w:r w:rsidRPr="008F7600">
        <w:rPr>
          <w:rFonts w:ascii="Calibri" w:hAnsi="Calibri" w:cs="Calibri"/>
        </w:rPr>
        <w:t>Laydon</w:t>
      </w:r>
      <w:proofErr w:type="spellEnd"/>
      <w:r w:rsidRPr="008F7600">
        <w:rPr>
          <w:rFonts w:ascii="Calibri" w:hAnsi="Calibri" w:cs="Calibri"/>
        </w:rPr>
        <w:t xml:space="preserve"> D, </w:t>
      </w:r>
      <w:proofErr w:type="spellStart"/>
      <w:r w:rsidRPr="008F7600">
        <w:rPr>
          <w:rFonts w:ascii="Calibri" w:hAnsi="Calibri" w:cs="Calibri"/>
        </w:rPr>
        <w:t>Nedjati-Gilani</w:t>
      </w:r>
      <w:proofErr w:type="spellEnd"/>
      <w:r w:rsidRPr="008F7600">
        <w:rPr>
          <w:rFonts w:ascii="Calibri" w:hAnsi="Calibri" w:cs="Calibri"/>
        </w:rPr>
        <w:t xml:space="preserve"> G, et al.  </w:t>
      </w:r>
      <w:r w:rsidRPr="008F7600">
        <w:rPr>
          <w:rFonts w:ascii="Calibri" w:hAnsi="Calibri" w:cs="Calibri"/>
          <w:lang w:val="en-US"/>
        </w:rPr>
        <w:t xml:space="preserve">Report 9: </w:t>
      </w:r>
      <w:r w:rsidR="00590380" w:rsidRPr="008F7600">
        <w:rPr>
          <w:rFonts w:ascii="Calibri" w:hAnsi="Calibri" w:cs="Calibri"/>
          <w:lang w:val="en-US"/>
        </w:rPr>
        <w:t>Impact of non-pharmaceutical interventions (NPIs) to reduce COVID19 m</w:t>
      </w:r>
      <w:r w:rsidRPr="008F7600">
        <w:rPr>
          <w:rFonts w:ascii="Calibri" w:hAnsi="Calibri" w:cs="Calibri"/>
          <w:lang w:val="en-US"/>
        </w:rPr>
        <w:t xml:space="preserve">ortality and healthcare demand. Imperial College COVID-19 Response Team, 2020, </w:t>
      </w:r>
      <w:hyperlink r:id="rId7" w:history="1">
        <w:r w:rsidRPr="008F7600">
          <w:rPr>
            <w:rStyle w:val="Hyperkobling"/>
            <w:rFonts w:ascii="Calibri" w:hAnsi="Calibri" w:cs="Calibri"/>
            <w:color w:val="auto"/>
            <w:u w:val="none"/>
            <w:lang w:val="en-US"/>
          </w:rPr>
          <w:t>https://www.imperial.ac.uk/media/imperial-college/medicine/mrc-gida/2020-03-16-COVID19-Report-9.pdf</w:t>
        </w:r>
      </w:hyperlink>
      <w:r w:rsidRPr="008F7600">
        <w:rPr>
          <w:rFonts w:ascii="Calibri" w:hAnsi="Calibri" w:cs="Calibri"/>
          <w:lang w:val="en-US"/>
        </w:rPr>
        <w:t xml:space="preserve"> (accessed </w:t>
      </w:r>
      <w:proofErr w:type="gramStart"/>
      <w:r w:rsidRPr="008F7600">
        <w:rPr>
          <w:rFonts w:ascii="Calibri" w:hAnsi="Calibri" w:cs="Calibri"/>
          <w:lang w:val="en-US"/>
        </w:rPr>
        <w:t>March,</w:t>
      </w:r>
      <w:proofErr w:type="gramEnd"/>
      <w:r w:rsidRPr="008F7600">
        <w:rPr>
          <w:rFonts w:ascii="Calibri" w:hAnsi="Calibri" w:cs="Calibri"/>
          <w:lang w:val="en-US"/>
        </w:rPr>
        <w:t xml:space="preserve"> 20). </w:t>
      </w:r>
      <w:r w:rsidRPr="008F7600">
        <w:rPr>
          <w:rFonts w:ascii="Calibri" w:hAnsi="Calibri" w:cs="Calibri"/>
          <w:lang w:val="pt-BR"/>
        </w:rPr>
        <w:t xml:space="preserve"> </w:t>
      </w:r>
    </w:p>
    <w:p w14:paraId="303AC6C0" w14:textId="022F0019" w:rsidR="00CD7CD6" w:rsidRDefault="004D6DAD" w:rsidP="00CD7CD6">
      <w:pPr>
        <w:pStyle w:val="Listeavsnitt"/>
        <w:widowControl w:val="0"/>
        <w:numPr>
          <w:ilvl w:val="0"/>
          <w:numId w:val="2"/>
        </w:numPr>
        <w:pBdr>
          <w:top w:val="nil"/>
          <w:left w:val="nil"/>
          <w:bottom w:val="nil"/>
          <w:right w:val="nil"/>
          <w:between w:val="nil"/>
        </w:pBdr>
        <w:shd w:val="solid" w:color="FFFFFF" w:fill="auto"/>
        <w:ind w:left="284" w:hanging="284"/>
        <w:rPr>
          <w:rFonts w:ascii="Calibri" w:hAnsi="Calibri" w:cs="Calibri"/>
          <w:lang w:val="en-US"/>
        </w:rPr>
      </w:pPr>
      <w:proofErr w:type="spellStart"/>
      <w:r w:rsidRPr="008F7600">
        <w:rPr>
          <w:rFonts w:ascii="Calibri" w:hAnsi="Calibri" w:cs="Calibri"/>
          <w:lang w:val="en-US"/>
        </w:rPr>
        <w:t>Speybroeck</w:t>
      </w:r>
      <w:proofErr w:type="spellEnd"/>
      <w:r w:rsidRPr="008F7600">
        <w:rPr>
          <w:rFonts w:ascii="Calibri" w:hAnsi="Calibri" w:cs="Calibri"/>
          <w:lang w:val="en-US"/>
        </w:rPr>
        <w:t xml:space="preserve"> N, Williams CJ, </w:t>
      </w:r>
      <w:proofErr w:type="spellStart"/>
      <w:r w:rsidRPr="008F7600">
        <w:rPr>
          <w:rFonts w:ascii="Calibri" w:hAnsi="Calibri" w:cs="Calibri"/>
          <w:lang w:val="en-US"/>
        </w:rPr>
        <w:t>Lafia</w:t>
      </w:r>
      <w:proofErr w:type="spellEnd"/>
      <w:r w:rsidRPr="008F7600">
        <w:rPr>
          <w:rFonts w:ascii="Calibri" w:hAnsi="Calibri" w:cs="Calibri"/>
          <w:lang w:val="en-US"/>
        </w:rPr>
        <w:t xml:space="preserve"> KB</w:t>
      </w:r>
      <w:proofErr w:type="gramStart"/>
      <w:r w:rsidRPr="008F7600">
        <w:rPr>
          <w:rFonts w:ascii="Calibri" w:hAnsi="Calibri" w:cs="Calibri"/>
          <w:lang w:val="en-US"/>
        </w:rPr>
        <w:t xml:space="preserve">, </w:t>
      </w:r>
      <w:r w:rsidR="008F7600" w:rsidRPr="008F7600">
        <w:rPr>
          <w:rFonts w:ascii="Calibri" w:hAnsi="Calibri" w:cs="Calibri"/>
          <w:lang w:val="en-US"/>
        </w:rPr>
        <w:t xml:space="preserve"> </w:t>
      </w:r>
      <w:proofErr w:type="spellStart"/>
      <w:r w:rsidR="008F7600" w:rsidRPr="008F7600">
        <w:rPr>
          <w:rFonts w:ascii="Calibri" w:hAnsi="Calibri" w:cs="Calibri"/>
          <w:lang w:val="en-US"/>
        </w:rPr>
        <w:t>D</w:t>
      </w:r>
      <w:r w:rsidRPr="008F7600">
        <w:rPr>
          <w:rFonts w:ascii="Calibri" w:hAnsi="Calibri" w:cs="Calibri"/>
          <w:lang w:val="en-US"/>
        </w:rPr>
        <w:t>e</w:t>
      </w:r>
      <w:r w:rsidR="008F7600" w:rsidRPr="008F7600">
        <w:rPr>
          <w:rFonts w:ascii="Calibri" w:hAnsi="Calibri" w:cs="Calibri"/>
          <w:lang w:val="en-US"/>
        </w:rPr>
        <w:t>vleesschauwer</w:t>
      </w:r>
      <w:proofErr w:type="spellEnd"/>
      <w:proofErr w:type="gramEnd"/>
      <w:r w:rsidR="008F7600" w:rsidRPr="008F7600">
        <w:rPr>
          <w:rFonts w:ascii="Calibri" w:hAnsi="Calibri" w:cs="Calibri"/>
          <w:lang w:val="en-US"/>
        </w:rPr>
        <w:t xml:space="preserve"> B, </w:t>
      </w:r>
      <w:proofErr w:type="spellStart"/>
      <w:r w:rsidR="008F7600" w:rsidRPr="008F7600">
        <w:rPr>
          <w:rFonts w:ascii="Calibri" w:hAnsi="Calibri" w:cs="Calibri"/>
          <w:lang w:val="en-US"/>
        </w:rPr>
        <w:t>Berkvens</w:t>
      </w:r>
      <w:proofErr w:type="spellEnd"/>
      <w:r w:rsidR="008F7600" w:rsidRPr="008F7600">
        <w:rPr>
          <w:rFonts w:ascii="Calibri" w:hAnsi="Calibri" w:cs="Calibri"/>
          <w:lang w:val="en-US"/>
        </w:rPr>
        <w:t xml:space="preserve"> D. </w:t>
      </w:r>
      <w:r w:rsidR="00590380" w:rsidRPr="008F7600">
        <w:rPr>
          <w:rFonts w:ascii="Calibri" w:hAnsi="Calibri" w:cs="Calibri"/>
          <w:lang w:val="en-US"/>
        </w:rPr>
        <w:t>Estimating the prevalence of infections in vector populations using pools of samples</w:t>
      </w:r>
      <w:r w:rsidRPr="008F7600">
        <w:rPr>
          <w:rFonts w:ascii="Calibri" w:hAnsi="Calibri" w:cs="Calibri"/>
          <w:lang w:val="en-US"/>
        </w:rPr>
        <w:t xml:space="preserve">. </w:t>
      </w:r>
      <w:r w:rsidR="008F7600" w:rsidRPr="00CD7CD6">
        <w:rPr>
          <w:rFonts w:ascii="Calibri" w:hAnsi="Calibri" w:cs="Calibri"/>
          <w:i/>
          <w:shd w:val="clear" w:color="auto" w:fill="FFFFFF"/>
          <w:lang w:val="en-US"/>
        </w:rPr>
        <w:t xml:space="preserve">Med Vet </w:t>
      </w:r>
      <w:proofErr w:type="spellStart"/>
      <w:r w:rsidR="008F7600" w:rsidRPr="00CD7CD6">
        <w:rPr>
          <w:rFonts w:ascii="Calibri" w:hAnsi="Calibri" w:cs="Calibri"/>
          <w:i/>
          <w:shd w:val="clear" w:color="auto" w:fill="FFFFFF"/>
          <w:lang w:val="en-US"/>
        </w:rPr>
        <w:t>Entomol</w:t>
      </w:r>
      <w:proofErr w:type="spellEnd"/>
      <w:r w:rsidR="008F7600" w:rsidRPr="00CD7CD6">
        <w:rPr>
          <w:rFonts w:ascii="Calibri" w:hAnsi="Calibri" w:cs="Calibri"/>
          <w:i/>
          <w:shd w:val="clear" w:color="auto" w:fill="FFFFFF"/>
          <w:lang w:val="en-US"/>
        </w:rPr>
        <w:t xml:space="preserve"> </w:t>
      </w:r>
      <w:r w:rsidR="008F7600" w:rsidRPr="00CD7CD6">
        <w:rPr>
          <w:rFonts w:ascii="Calibri" w:hAnsi="Calibri" w:cs="Calibri"/>
          <w:shd w:val="clear" w:color="auto" w:fill="FFFFFF"/>
          <w:lang w:val="en-US"/>
        </w:rPr>
        <w:t xml:space="preserve">2012; </w:t>
      </w:r>
      <w:r w:rsidR="008F7600" w:rsidRPr="00CD7CD6">
        <w:rPr>
          <w:rFonts w:ascii="Calibri" w:hAnsi="Calibri" w:cs="Calibri"/>
          <w:b/>
          <w:shd w:val="clear" w:color="auto" w:fill="FFFFFF"/>
          <w:lang w:val="en-US"/>
        </w:rPr>
        <w:t xml:space="preserve">26: </w:t>
      </w:r>
      <w:r w:rsidR="00CD7CD6">
        <w:rPr>
          <w:rFonts w:ascii="Calibri" w:hAnsi="Calibri" w:cs="Calibri"/>
          <w:lang w:val="en-US"/>
        </w:rPr>
        <w:t>361–</w:t>
      </w:r>
      <w:r w:rsidR="008F7600" w:rsidRPr="00CD7CD6">
        <w:rPr>
          <w:rFonts w:ascii="Calibri" w:hAnsi="Calibri" w:cs="Calibri"/>
          <w:lang w:val="en-US"/>
        </w:rPr>
        <w:t>71.</w:t>
      </w:r>
      <w:r w:rsidR="00CD7CD6">
        <w:rPr>
          <w:rFonts w:ascii="Calibri" w:hAnsi="Calibri" w:cs="Calibri"/>
          <w:lang w:val="en-US"/>
        </w:rPr>
        <w:t xml:space="preserve">   </w:t>
      </w:r>
    </w:p>
    <w:p w14:paraId="48E4155D" w14:textId="1B884A42" w:rsidR="00B111A3" w:rsidRPr="00CD7CD6" w:rsidRDefault="00B111A3" w:rsidP="00CD7CD6">
      <w:pPr>
        <w:pStyle w:val="Listeavsnitt"/>
        <w:widowControl w:val="0"/>
        <w:numPr>
          <w:ilvl w:val="0"/>
          <w:numId w:val="2"/>
        </w:numPr>
        <w:pBdr>
          <w:top w:val="nil"/>
          <w:left w:val="nil"/>
          <w:bottom w:val="nil"/>
          <w:right w:val="nil"/>
          <w:between w:val="nil"/>
        </w:pBdr>
        <w:shd w:val="solid" w:color="FFFFFF" w:fill="auto"/>
        <w:ind w:left="284" w:hanging="284"/>
        <w:rPr>
          <w:rFonts w:ascii="Calibri" w:hAnsi="Calibri" w:cs="Calibri"/>
          <w:lang w:val="en-US"/>
        </w:rPr>
      </w:pPr>
      <w:r w:rsidRPr="00CD7CD6">
        <w:rPr>
          <w:rFonts w:ascii="Calibri" w:hAnsi="Calibri" w:cs="Calibri"/>
          <w:shd w:val="clear" w:color="auto" w:fill="FFFFFF"/>
          <w:lang w:val="en-US"/>
        </w:rPr>
        <w:t>WHO. Global surveillance for COVID-19 caused by human infection with C</w:t>
      </w:r>
      <w:r w:rsidR="00686CC8" w:rsidRPr="00CD7CD6">
        <w:rPr>
          <w:rFonts w:ascii="Calibri" w:hAnsi="Calibri" w:cs="Calibri"/>
          <w:shd w:val="clear" w:color="auto" w:fill="FFFFFF"/>
          <w:lang w:val="en-US"/>
        </w:rPr>
        <w:t>OVID-19 virus: Interim guidance 20 March 2020.</w:t>
      </w:r>
      <w:r w:rsidRPr="00CD7CD6">
        <w:rPr>
          <w:rFonts w:ascii="Calibri" w:hAnsi="Calibri" w:cs="Calibri"/>
          <w:shd w:val="clear" w:color="auto" w:fill="FFFFFF"/>
          <w:lang w:val="en-US"/>
        </w:rPr>
        <w:t xml:space="preserve"> </w:t>
      </w:r>
      <w:r w:rsidR="00686CC8" w:rsidRPr="00CD7CD6">
        <w:rPr>
          <w:rFonts w:ascii="Calibri" w:hAnsi="Calibri" w:cs="Calibri"/>
          <w:shd w:val="clear" w:color="auto" w:fill="FFFFFF"/>
          <w:lang w:val="en-US"/>
        </w:rPr>
        <w:t xml:space="preserve">World Health </w:t>
      </w:r>
      <w:r w:rsidRPr="00CD7CD6">
        <w:rPr>
          <w:rFonts w:ascii="Calibri" w:hAnsi="Calibri" w:cs="Calibri"/>
          <w:shd w:val="clear" w:color="auto" w:fill="FFFFFF"/>
          <w:lang w:val="en-US"/>
        </w:rPr>
        <w:t>Organization</w:t>
      </w:r>
      <w:r w:rsidR="00686CC8" w:rsidRPr="00CD7CD6">
        <w:rPr>
          <w:rFonts w:ascii="Calibri" w:hAnsi="Calibri" w:cs="Calibri"/>
          <w:shd w:val="clear" w:color="auto" w:fill="FFFFFF"/>
          <w:lang w:val="en-US"/>
        </w:rPr>
        <w:t>, 2020</w:t>
      </w:r>
      <w:r w:rsidRPr="00CD7CD6">
        <w:rPr>
          <w:rFonts w:ascii="Calibri" w:hAnsi="Calibri" w:cs="Calibri"/>
          <w:shd w:val="clear" w:color="auto" w:fill="FFFFFF"/>
          <w:lang w:val="en-US"/>
        </w:rPr>
        <w:t>.</w:t>
      </w:r>
      <w:r w:rsidR="00CD7CD6">
        <w:rPr>
          <w:rFonts w:ascii="Calibri" w:hAnsi="Calibri" w:cs="Calibri"/>
          <w:shd w:val="clear" w:color="auto" w:fill="FFFFFF"/>
          <w:lang w:val="en-US"/>
        </w:rPr>
        <w:t xml:space="preserve"> </w:t>
      </w:r>
      <w:hyperlink r:id="rId8" w:history="1">
        <w:r w:rsidRPr="00CD7CD6">
          <w:rPr>
            <w:rStyle w:val="Hyperkobling"/>
            <w:rFonts w:ascii="Calibri" w:hAnsi="Calibri" w:cs="Calibri"/>
            <w:color w:val="auto"/>
            <w:lang w:val="en-US"/>
          </w:rPr>
          <w:t>https://apps.who.int/iris/handle/10665/331506</w:t>
        </w:r>
      </w:hyperlink>
      <w:r w:rsidR="00686CC8" w:rsidRPr="00CD7CD6">
        <w:rPr>
          <w:rFonts w:ascii="Calibri" w:hAnsi="Calibri" w:cs="Calibri"/>
          <w:shd w:val="clear" w:color="auto" w:fill="FFFFFF"/>
          <w:lang w:val="en-US"/>
        </w:rPr>
        <w:t xml:space="preserve"> (accessed Apr 6, 2020).</w:t>
      </w:r>
    </w:p>
    <w:p w14:paraId="00BAE990" w14:textId="1D9EE2C0" w:rsidR="00131743" w:rsidRDefault="00131743">
      <w:pPr>
        <w:widowControl w:val="0"/>
        <w:rPr>
          <w:rFonts w:ascii="Calibri" w:hAnsi="Calibri" w:cs="Calibri"/>
          <w:color w:val="333333"/>
          <w:shd w:val="clear" w:color="auto" w:fill="FFFFFF"/>
          <w:lang w:val="en-US"/>
        </w:rPr>
      </w:pPr>
    </w:p>
    <w:sectPr w:rsidR="00131743">
      <w:footerReference w:type="default" r:id="rId9"/>
      <w:endnotePr>
        <w:numFmt w:val="decimal"/>
      </w:endnotePr>
      <w:pgSz w:w="11906" w:h="16838"/>
      <w:pgMar w:top="1417" w:right="1417" w:bottom="1417" w:left="1417" w:header="0" w:footer="0" w:gutter="0"/>
      <w:cols w:space="708"/>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2A2F27" w16cid:durableId="22357DF3"/>
  <w16cid:commentId w16cid:paraId="57E11651" w16cid:durableId="2235782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A308FB" w14:textId="77777777" w:rsidR="00590380" w:rsidRDefault="00590380" w:rsidP="00B111A3">
      <w:r>
        <w:separator/>
      </w:r>
    </w:p>
  </w:endnote>
  <w:endnote w:type="continuationSeparator" w:id="0">
    <w:p w14:paraId="45DC3081" w14:textId="77777777" w:rsidR="00590380" w:rsidRDefault="00590380" w:rsidP="00B11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5350501"/>
      <w:docPartObj>
        <w:docPartGallery w:val="Page Numbers (Bottom of Page)"/>
        <w:docPartUnique/>
      </w:docPartObj>
    </w:sdtPr>
    <w:sdtEndPr/>
    <w:sdtContent>
      <w:p w14:paraId="3572AF31" w14:textId="32787AE5" w:rsidR="00776F4A" w:rsidRDefault="00776F4A">
        <w:pPr>
          <w:pStyle w:val="Bunntekst"/>
          <w:jc w:val="right"/>
        </w:pPr>
        <w:r>
          <w:fldChar w:fldCharType="begin"/>
        </w:r>
        <w:r>
          <w:instrText>PAGE   \* MERGEFORMAT</w:instrText>
        </w:r>
        <w:r>
          <w:fldChar w:fldCharType="separate"/>
        </w:r>
        <w:r w:rsidR="00E57209">
          <w:rPr>
            <w:noProof/>
          </w:rPr>
          <w:t>2</w:t>
        </w:r>
        <w:r>
          <w:fldChar w:fldCharType="end"/>
        </w:r>
      </w:p>
    </w:sdtContent>
  </w:sdt>
  <w:p w14:paraId="044555E0" w14:textId="77777777" w:rsidR="00776F4A" w:rsidRDefault="00776F4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7E4DE5" w14:textId="77777777" w:rsidR="00590380" w:rsidRDefault="00590380" w:rsidP="00B111A3">
      <w:r>
        <w:separator/>
      </w:r>
    </w:p>
  </w:footnote>
  <w:footnote w:type="continuationSeparator" w:id="0">
    <w:p w14:paraId="2722684D" w14:textId="77777777" w:rsidR="00590380" w:rsidRDefault="00590380" w:rsidP="00B111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920665"/>
    <w:multiLevelType w:val="hybridMultilevel"/>
    <w:tmpl w:val="14345F46"/>
    <w:lvl w:ilvl="0" w:tplc="9D044692">
      <w:numFmt w:val="none"/>
      <w:lvlText w:val=""/>
      <w:lvlJc w:val="left"/>
      <w:pPr>
        <w:tabs>
          <w:tab w:val="num" w:pos="360"/>
        </w:tabs>
        <w:ind w:left="360" w:hanging="360"/>
      </w:pPr>
    </w:lvl>
    <w:lvl w:ilvl="1" w:tplc="D4429088">
      <w:numFmt w:val="none"/>
      <w:lvlText w:val=""/>
      <w:lvlJc w:val="left"/>
      <w:pPr>
        <w:tabs>
          <w:tab w:val="num" w:pos="360"/>
        </w:tabs>
        <w:ind w:left="360" w:hanging="360"/>
      </w:pPr>
    </w:lvl>
    <w:lvl w:ilvl="2" w:tplc="3E78ED68">
      <w:numFmt w:val="none"/>
      <w:lvlText w:val=""/>
      <w:lvlJc w:val="left"/>
      <w:pPr>
        <w:tabs>
          <w:tab w:val="num" w:pos="360"/>
        </w:tabs>
        <w:ind w:left="360" w:hanging="360"/>
      </w:pPr>
    </w:lvl>
    <w:lvl w:ilvl="3" w:tplc="4C803578">
      <w:numFmt w:val="none"/>
      <w:lvlText w:val=""/>
      <w:lvlJc w:val="left"/>
      <w:pPr>
        <w:tabs>
          <w:tab w:val="num" w:pos="360"/>
        </w:tabs>
        <w:ind w:left="360" w:hanging="360"/>
      </w:pPr>
    </w:lvl>
    <w:lvl w:ilvl="4" w:tplc="898E6BFA">
      <w:numFmt w:val="none"/>
      <w:lvlText w:val=""/>
      <w:lvlJc w:val="left"/>
      <w:pPr>
        <w:tabs>
          <w:tab w:val="num" w:pos="360"/>
        </w:tabs>
        <w:ind w:left="360" w:hanging="360"/>
      </w:pPr>
    </w:lvl>
    <w:lvl w:ilvl="5" w:tplc="EF6477BA">
      <w:numFmt w:val="none"/>
      <w:lvlText w:val=""/>
      <w:lvlJc w:val="left"/>
      <w:pPr>
        <w:tabs>
          <w:tab w:val="num" w:pos="360"/>
        </w:tabs>
        <w:ind w:left="360" w:hanging="360"/>
      </w:pPr>
    </w:lvl>
    <w:lvl w:ilvl="6" w:tplc="B3F6593A">
      <w:numFmt w:val="none"/>
      <w:lvlText w:val=""/>
      <w:lvlJc w:val="left"/>
      <w:pPr>
        <w:tabs>
          <w:tab w:val="num" w:pos="360"/>
        </w:tabs>
        <w:ind w:left="360" w:hanging="360"/>
      </w:pPr>
    </w:lvl>
    <w:lvl w:ilvl="7" w:tplc="77BE4848">
      <w:numFmt w:val="none"/>
      <w:lvlText w:val=""/>
      <w:lvlJc w:val="left"/>
      <w:pPr>
        <w:tabs>
          <w:tab w:val="num" w:pos="360"/>
        </w:tabs>
        <w:ind w:left="360" w:hanging="360"/>
      </w:pPr>
    </w:lvl>
    <w:lvl w:ilvl="8" w:tplc="6420B170">
      <w:numFmt w:val="none"/>
      <w:lvlText w:val=""/>
      <w:lvlJc w:val="left"/>
      <w:pPr>
        <w:tabs>
          <w:tab w:val="num" w:pos="360"/>
        </w:tabs>
        <w:ind w:left="360" w:hanging="360"/>
      </w:pPr>
    </w:lvl>
  </w:abstractNum>
  <w:abstractNum w:abstractNumId="1" w15:restartNumberingAfterBreak="0">
    <w:nsid w:val="747D43A1"/>
    <w:multiLevelType w:val="hybridMultilevel"/>
    <w:tmpl w:val="A8D699F0"/>
    <w:lvl w:ilvl="0" w:tplc="46046C5E">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283"/>
  <w:drawingGridVerticalSpacing w:val="283"/>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AE7"/>
    <w:rsid w:val="00006647"/>
    <w:rsid w:val="00131743"/>
    <w:rsid w:val="00177DB9"/>
    <w:rsid w:val="00193609"/>
    <w:rsid w:val="00297AE7"/>
    <w:rsid w:val="002C2CAE"/>
    <w:rsid w:val="002C43D1"/>
    <w:rsid w:val="004136B2"/>
    <w:rsid w:val="004D6DAD"/>
    <w:rsid w:val="00590380"/>
    <w:rsid w:val="00686CC8"/>
    <w:rsid w:val="006C1E6C"/>
    <w:rsid w:val="006E7230"/>
    <w:rsid w:val="00776F4A"/>
    <w:rsid w:val="008F7600"/>
    <w:rsid w:val="009511E6"/>
    <w:rsid w:val="00B111A3"/>
    <w:rsid w:val="00B25D14"/>
    <w:rsid w:val="00B278D9"/>
    <w:rsid w:val="00BA63F1"/>
    <w:rsid w:val="00C24AE7"/>
    <w:rsid w:val="00C51D5B"/>
    <w:rsid w:val="00CD7CD6"/>
    <w:rsid w:val="00D80452"/>
    <w:rsid w:val="00E57209"/>
    <w:rsid w:val="00EF1B5E"/>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6EF54A5"/>
  <w15:docId w15:val="{A3F3F5B8-9AD7-4D7F-B330-6B7A72D87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nb-NO"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4"/>
      <w:szCs w:val="24"/>
    </w:rPr>
  </w:style>
  <w:style w:type="paragraph" w:styleId="Overskrift1">
    <w:name w:val="heading 1"/>
    <w:basedOn w:val="Normal"/>
    <w:qFormat/>
    <w:pPr>
      <w:spacing w:before="100" w:beforeAutospacing="1" w:after="100" w:afterAutospacing="1"/>
      <w:outlineLvl w:val="0"/>
    </w:pPr>
    <w:rPr>
      <w:rFonts w:eastAsia="Times New Roman"/>
      <w:b/>
      <w:bCs/>
      <w:kern w:val="1"/>
      <w:sz w:val="48"/>
      <w:szCs w:val="4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qFormat/>
  </w:style>
  <w:style w:type="paragraph" w:customStyle="1" w:styleId="CommentText1">
    <w:name w:val="Comment Text1"/>
    <w:basedOn w:val="Normal"/>
    <w:qFormat/>
    <w:rPr>
      <w:sz w:val="20"/>
      <w:szCs w:val="20"/>
    </w:rPr>
  </w:style>
  <w:style w:type="paragraph" w:customStyle="1" w:styleId="CommentSubject1">
    <w:name w:val="Comment Subject1"/>
    <w:basedOn w:val="CommentText1"/>
    <w:next w:val="CommentText1"/>
    <w:qFormat/>
    <w:rPr>
      <w:b/>
      <w:bCs/>
    </w:rPr>
  </w:style>
  <w:style w:type="paragraph" w:styleId="Bobletekst">
    <w:name w:val="Balloon Text"/>
    <w:basedOn w:val="Normal"/>
    <w:qFormat/>
    <w:rPr>
      <w:rFonts w:ascii="Segoe UI" w:hAnsi="Segoe UI" w:cs="Segoe UI"/>
      <w:sz w:val="18"/>
      <w:szCs w:val="18"/>
    </w:rPr>
  </w:style>
  <w:style w:type="paragraph" w:styleId="Bildetekst">
    <w:name w:val="caption"/>
    <w:basedOn w:val="Normal"/>
    <w:next w:val="Normal"/>
    <w:qFormat/>
    <w:pPr>
      <w:spacing w:after="200"/>
    </w:pPr>
    <w:rPr>
      <w:rFonts w:eastAsia="Times New Roman"/>
      <w:i/>
      <w:iCs/>
      <w:color w:val="1F497D"/>
      <w:sz w:val="18"/>
      <w:szCs w:val="18"/>
    </w:rPr>
  </w:style>
  <w:style w:type="paragraph" w:styleId="Topptekst">
    <w:name w:val="header"/>
    <w:basedOn w:val="Normal"/>
    <w:qFormat/>
    <w:pPr>
      <w:tabs>
        <w:tab w:val="center" w:pos="4536"/>
        <w:tab w:val="right" w:pos="9072"/>
      </w:tabs>
    </w:pPr>
  </w:style>
  <w:style w:type="paragraph" w:styleId="Bunntekst">
    <w:name w:val="footer"/>
    <w:basedOn w:val="Normal"/>
    <w:uiPriority w:val="99"/>
    <w:qFormat/>
    <w:pPr>
      <w:tabs>
        <w:tab w:val="center" w:pos="4536"/>
        <w:tab w:val="right" w:pos="9072"/>
      </w:tabs>
    </w:pPr>
  </w:style>
  <w:style w:type="paragraph" w:styleId="Merknadstekst">
    <w:name w:val="annotation text"/>
    <w:basedOn w:val="Normal"/>
    <w:qFormat/>
    <w:rPr>
      <w:sz w:val="20"/>
      <w:szCs w:val="20"/>
    </w:rPr>
  </w:style>
  <w:style w:type="paragraph" w:styleId="Kommentaremne">
    <w:name w:val="annotation subject"/>
    <w:basedOn w:val="Merknadstekst"/>
    <w:next w:val="Merknadstekst"/>
    <w:qFormat/>
    <w:rPr>
      <w:b/>
      <w:bCs/>
    </w:rPr>
  </w:style>
  <w:style w:type="character" w:styleId="Hyperkobling">
    <w:name w:val="Hyperlink"/>
    <w:rPr>
      <w:color w:val="0000FF"/>
      <w:u w:val="single"/>
    </w:rPr>
  </w:style>
  <w:style w:type="character" w:customStyle="1" w:styleId="CommentReference1">
    <w:name w:val="Comment Reference1"/>
    <w:basedOn w:val="Standardskriftforavsnitt"/>
    <w:rPr>
      <w:sz w:val="16"/>
      <w:szCs w:val="16"/>
    </w:rPr>
  </w:style>
  <w:style w:type="character" w:customStyle="1" w:styleId="BobletekstTegn">
    <w:name w:val="Bobletekst Tegn"/>
    <w:basedOn w:val="Standardskriftforavsnitt"/>
    <w:rPr>
      <w:rFonts w:ascii="Segoe UI" w:hAnsi="Segoe UI" w:cs="Segoe UI"/>
      <w:sz w:val="18"/>
      <w:szCs w:val="18"/>
    </w:rPr>
  </w:style>
  <w:style w:type="character" w:customStyle="1" w:styleId="TopptekstTegn">
    <w:name w:val="Topptekst Tegn"/>
    <w:basedOn w:val="Standardskriftforavsnitt"/>
    <w:rPr>
      <w:rFonts w:ascii="Times New Roman" w:hAnsi="Times New Roman"/>
      <w:sz w:val="24"/>
      <w:szCs w:val="24"/>
    </w:rPr>
  </w:style>
  <w:style w:type="character" w:customStyle="1" w:styleId="BunntekstTegn">
    <w:name w:val="Bunntekst Tegn"/>
    <w:basedOn w:val="Standardskriftforavsnitt"/>
    <w:uiPriority w:val="99"/>
    <w:rPr>
      <w:rFonts w:ascii="Times New Roman" w:hAnsi="Times New Roman"/>
      <w:sz w:val="24"/>
      <w:szCs w:val="24"/>
    </w:rPr>
  </w:style>
  <w:style w:type="character" w:customStyle="1" w:styleId="UnresolvedMention1">
    <w:name w:val="Unresolved Mention1"/>
    <w:basedOn w:val="Standardskriftforavsnitt"/>
    <w:rPr>
      <w:color w:val="808080"/>
      <w:shd w:val="clear" w:color="auto" w:fill="E6E6E6"/>
    </w:rPr>
  </w:style>
  <w:style w:type="character" w:customStyle="1" w:styleId="Overskrift1Tegn">
    <w:name w:val="Overskrift 1 Tegn"/>
    <w:basedOn w:val="Standardskriftforavsnitt"/>
    <w:rPr>
      <w:rFonts w:ascii="Times New Roman" w:eastAsia="Times New Roman" w:hAnsi="Times New Roman"/>
      <w:b/>
      <w:bCs/>
      <w:kern w:val="1"/>
      <w:sz w:val="48"/>
      <w:szCs w:val="48"/>
    </w:rPr>
  </w:style>
  <w:style w:type="table" w:styleId="Tabellrutenett">
    <w:name w:val="Table Grid"/>
    <w:basedOn w:val="Vanligtabel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Merknadsreferanse">
    <w:name w:val="annotation reference"/>
    <w:basedOn w:val="Standardskriftforavsnitt"/>
    <w:uiPriority w:val="99"/>
    <w:rPr>
      <w:sz w:val="16"/>
      <w:szCs w:val="16"/>
    </w:rPr>
  </w:style>
  <w:style w:type="character" w:styleId="Fulgthyperkobling">
    <w:name w:val="FollowedHyperlink"/>
    <w:basedOn w:val="Standardskriftforavsnitt"/>
    <w:uiPriority w:val="99"/>
    <w:rsid w:val="00B111A3"/>
    <w:rPr>
      <w:color w:val="800080" w:themeColor="followedHyperlink"/>
      <w:u w:val="single"/>
    </w:rPr>
  </w:style>
  <w:style w:type="paragraph" w:styleId="Revisjon">
    <w:name w:val="Revision"/>
    <w:hidden/>
    <w:uiPriority w:val="99"/>
    <w:semiHidden/>
    <w:rsid w:val="00EF1B5E"/>
    <w:rPr>
      <w:rFonts w:ascii="Times New Roman" w:hAnsi="Times New Roman"/>
      <w:sz w:val="24"/>
      <w:szCs w:val="24"/>
    </w:rPr>
  </w:style>
  <w:style w:type="paragraph" w:styleId="Listeavsnitt">
    <w:name w:val="List Paragraph"/>
    <w:basedOn w:val="Normal"/>
    <w:uiPriority w:val="34"/>
    <w:qFormat/>
    <w:rsid w:val="00951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ps.who.int/iris/handle/10665/331506" TargetMode="External"/><Relationship Id="rId3" Type="http://schemas.openxmlformats.org/officeDocument/2006/relationships/settings" Target="settings.xml"/><Relationship Id="rId7" Type="http://schemas.openxmlformats.org/officeDocument/2006/relationships/hyperlink" Target="https://www.imperial.ac.uk/media/imperial-college/medicine/mrc-gida/2020-03-16-COVID19-Report-9.pdf" TargetMode="External"/><Relationship Id="rId1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934</Words>
  <Characters>4953</Characters>
  <Application>Microsoft Office Word</Application>
  <DocSecurity>0</DocSecurity>
  <Lines>41</Lines>
  <Paragraphs>11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Terje Kvaløy</dc:creator>
  <cp:keywords/>
  <dc:description/>
  <cp:lastModifiedBy>Jan Terje Kvaløy</cp:lastModifiedBy>
  <cp:revision>3</cp:revision>
  <dcterms:created xsi:type="dcterms:W3CDTF">2020-04-06T18:36:00Z</dcterms:created>
  <dcterms:modified xsi:type="dcterms:W3CDTF">2020-04-06T18:38:00Z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b48b937-0ae3-46f5-b32e-f3232b5be847_Enabled">
    <vt:lpwstr>True</vt:lpwstr>
  </property>
  <property fmtid="{D5CDD505-2E9C-101B-9397-08002B2CF9AE}" pid="3" name="MSIP_Label_3b48b937-0ae3-46f5-b32e-f3232b5be847_SiteId">
    <vt:lpwstr>9179d01a-e94c-4488-b5f0-4554bc474f8c</vt:lpwstr>
  </property>
  <property fmtid="{D5CDD505-2E9C-101B-9397-08002B2CF9AE}" pid="4" name="MSIP_Label_3b48b937-0ae3-46f5-b32e-f3232b5be847_Owner">
    <vt:lpwstr>kenneth.gundersen@technipfmc.com</vt:lpwstr>
  </property>
  <property fmtid="{D5CDD505-2E9C-101B-9397-08002B2CF9AE}" pid="5" name="MSIP_Label_3b48b937-0ae3-46f5-b32e-f3232b5be847_SetDate">
    <vt:lpwstr>2020-04-06T08:00:10.0168104Z</vt:lpwstr>
  </property>
  <property fmtid="{D5CDD505-2E9C-101B-9397-08002B2CF9AE}" pid="6" name="MSIP_Label_3b48b937-0ae3-46f5-b32e-f3232b5be847_Name">
    <vt:lpwstr>General</vt:lpwstr>
  </property>
  <property fmtid="{D5CDD505-2E9C-101B-9397-08002B2CF9AE}" pid="7" name="MSIP_Label_3b48b937-0ae3-46f5-b32e-f3232b5be847_Application">
    <vt:lpwstr>Microsoft Azure Information Protection</vt:lpwstr>
  </property>
  <property fmtid="{D5CDD505-2E9C-101B-9397-08002B2CF9AE}" pid="8" name="MSIP_Label_3b48b937-0ae3-46f5-b32e-f3232b5be847_Extended_MSFT_Method">
    <vt:lpwstr>Automatic</vt:lpwstr>
  </property>
  <property fmtid="{D5CDD505-2E9C-101B-9397-08002B2CF9AE}" pid="9" name="Sensitivity">
    <vt:lpwstr>General</vt:lpwstr>
  </property>
</Properties>
</file>