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Override PartName="/word/media/rId60.png" ContentType="image/png"/>
  <Override PartName="/word/media/rId64.png" ContentType="image/png"/>
  <Override PartName="/word/media/rId56.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rstheader"/>
    <w:p>
      <w:pPr>
        <w:pStyle w:val="Heading1"/>
      </w:pPr>
      <w:r>
        <w:t xml:space="preserve">AI–Adopters: Three scale construction procedures</w:t>
      </w:r>
    </w:p>
    <w:p>
      <w:pPr>
        <w:pStyle w:val="FirstParagraph"/>
      </w:pPr>
      <w:r>
        <w:t xml:space="preserve">An Alternative Title:</w:t>
      </w:r>
      <w:r>
        <w:t xml:space="preserve"> </w:t>
      </w:r>
      <w:r>
        <w:t xml:space="preserve">“Measuring AI-Adopter Types: Comparison of Traditional vs. AI-Facilitated Procedures”</w:t>
      </w:r>
    </w:p>
    <w:p>
      <w:pPr>
        <w:pStyle w:val="BodyText"/>
      </w:pPr>
      <w:r>
        <w:t xml:space="preserve">Abstract</w:t>
      </w:r>
    </w:p>
    <w:p>
      <w:pPr>
        <w:pStyle w:val="BodyText"/>
      </w:pPr>
      <w:r>
        <w:t xml:space="preserve">The present study is an exploratory comparison of three approaches to developing items intended to assess employees’ orientations toward workplace AI. Items for Callari and Puppione (2025)’s qualitatively-derived ideal AI user types were generated through (a) ChatGPT, (b) AI-GENIE, and (c) industrial-organizational psychology subject-matter experts.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 work in the digital age</w:t>
      </w:r>
      <w:r>
        <w:t xml:space="preserve"> </w:t>
      </w:r>
      <w:r>
        <w:t xml:space="preserve">identifies autonomy, skill variety, feedback, task significance, and</w:t>
      </w:r>
      <w:r>
        <w:t xml:space="preserve"> </w:t>
      </w:r>
      <w:r>
        <w:t xml:space="preserve">task identity as job characteristics affected by workplace digitization.</w:t>
      </w:r>
      <w:r>
        <w:t xml:space="preserve"> </w:t>
      </w:r>
      <w:r>
        <w:t xml:space="preserve">As such, as AI’s role in the design and performance of work grows it is important to understand how employees engage with the technology. The present makes two key contributions to our understanding of AI in the workplace: Our first aim is to create a meausure of type of AI adopter. Second, we accomplish to goal of scale creation via a novel comparison of three approaches to developing items, comparing traditionally-derived subject matter expert ratings, with LLM-derivded procedures including prompting via ChatGPT and through a dedicated R package (AI-GENIE).</w:t>
      </w:r>
    </w:p>
    <w:bookmarkStart w:id="20" w:name="conceptualizing-ai-use-in-the-workplace"/>
    <w:p>
      <w:pPr>
        <w:pStyle w:val="Heading2"/>
      </w:pPr>
      <w:r>
        <w:t xml:space="preserve">Conceptualizing 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 how 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one framework for distinguish forms of AI</w:t>
      </w:r>
      <w:r>
        <w:t xml:space="preserve"> </w:t>
      </w:r>
      <w:r>
        <w:t xml:space="preserve">use. Drawing on qualitative data from employees using Microsoft 365</w:t>
      </w:r>
      <w:r>
        <w:t xml:space="preserve"> </w:t>
      </w:r>
      <w:r>
        <w:t xml:space="preserve">Copilot, they identified three ideal types of AI users</w:t>
      </w:r>
      <w:r>
        <w:t xml:space="preserve"> </w:t>
      </w:r>
      <w:r>
        <w:t xml:space="preserve">Efficiency-Seeking, Pragmatic Integrators, and Collaborative Optimizers.</w:t>
      </w:r>
      <w:r>
        <w:t xml:space="preserve"> </w:t>
      </w:r>
      <w:r>
        <w:t xml:space="preserve">These ideal types imply qualitatively different relationships between AI</w:t>
      </w:r>
      <w:r>
        <w:t xml:space="preserve"> </w:t>
      </w:r>
      <w:r>
        <w:t xml:space="preserve">and features of work including autonomy, skill utilization, cognitive</w:t>
      </w:r>
      <w:r>
        <w:t xml:space="preserve"> </w:t>
      </w:r>
      <w:r>
        <w:t xml:space="preserve">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w:t>
      </w:r>
      <w:r>
        <w:t xml:space="preserve"> </w:t>
      </w:r>
      <w:r>
        <w:t xml:space="preserve">suggests that AI use is not a uniform behavior but rather is best</w:t>
      </w:r>
      <w:r>
        <w:t xml:space="preserve"> </w:t>
      </w:r>
      <w:r>
        <w:t xml:space="preserve">considered multidimensional.Yet, translating qualitative ideal types</w:t>
      </w:r>
      <w:r>
        <w:t xml:space="preserve"> </w:t>
      </w:r>
      <w:r>
        <w:t xml:space="preserve">into quantitative measures presents a challenge. Ideal types represent</w:t>
      </w:r>
      <w:r>
        <w:t xml:space="preserve"> </w:t>
      </w:r>
      <w:r>
        <w:t xml:space="preserve">recurring patterns of behavior and experience, but they do not</w:t>
      </w:r>
      <w:r>
        <w:t xml:space="preserve"> </w:t>
      </w:r>
      <w:r>
        <w:t xml:space="preserve">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w:t>
      </w:r>
      <w:r>
        <w:t xml:space="preserve"> </w:t>
      </w:r>
      <w:r>
        <w:t xml:space="preserve">items. Interestingly, the measurement of AI use is potentially enriched</w:t>
      </w:r>
      <w:r>
        <w:t xml:space="preserve"> </w:t>
      </w:r>
      <w:r>
        <w:t xml:space="preserve">by recent technological developments. For a long time, the scale</w:t>
      </w:r>
      <w:r>
        <w:t xml:space="preserve"> </w:t>
      </w:r>
      <w:r>
        <w:t xml:space="preserve">development process has relied on the efforts of researchers and</w:t>
      </w:r>
      <w:r>
        <w:t xml:space="preserve"> </w:t>
      </w:r>
      <w:r>
        <w:t xml:space="preserve">subject-matter experts to turn construct definitions to survey items</w:t>
      </w:r>
      <w:r>
        <w:t xml:space="preserve"> </w:t>
      </w:r>
      <w:r>
        <w:t xml:space="preserve">measuring the construct. Now, generative AI now provides tools for</w:t>
      </w:r>
      <w:r>
        <w:t xml:space="preserve"> </w:t>
      </w:r>
      <w:r>
        <w:t xml:space="preserve">producing surveys that measure constructs from idea generation to item</w:t>
      </w:r>
      <w:r>
        <w:t xml:space="preserve"> </w:t>
      </w:r>
      <w:r>
        <w:t xml:space="preserve">testing. However, the question of whether survey items produced by</w:t>
      </w:r>
      <w:r>
        <w:t xml:space="preserve"> </w:t>
      </w:r>
      <w:r>
        <w:t xml:space="preserve">generative AI can properly measure constructs.</w:t>
      </w:r>
    </w:p>
    <w:bookmarkEnd w:id="20"/>
    <w:bookmarkStart w:id="21" w:name="the-current-study"/>
    <w:p>
      <w:pPr>
        <w:pStyle w:val="Heading2"/>
      </w:pPr>
      <w:r>
        <w:t xml:space="preserve">The Current Study</w:t>
      </w:r>
    </w:p>
    <w:p>
      <w:pPr>
        <w:pStyle w:val="FirstParagraph"/>
      </w:pPr>
      <w:r>
        <w:t xml:space="preserve">The present study is an exploratory comparison of three approaches to developing items intended</w:t>
      </w:r>
      <w:r>
        <w:t xml:space="preserve"> </w:t>
      </w:r>
      <w:r>
        <w:t xml:space="preserve">to assess employees’ orientations toward workplace AI use. Specifically,</w:t>
      </w:r>
      <w:r>
        <w:t xml:space="preserve"> </w:t>
      </w:r>
      <w:r>
        <w:t xml:space="preserve">we compare items generated through (a) ChatGPT based on</w:t>
      </w:r>
      <w:r>
        <w:t xml:space="preserve"> </w:t>
      </w:r>
      <w:r>
        <w:t xml:space="preserve">Callari and Puppione (</w:t>
      </w:r>
      <w:hyperlink w:anchor="ref-callari2025meaningful">
        <w:r>
          <w:rPr>
            <w:rStyle w:val="Hyperlink"/>
          </w:rPr>
          <w:t xml:space="preserve">2025</w:t>
        </w:r>
      </w:hyperlink>
      <w:r>
        <w:t xml:space="preserve">)</w:t>
      </w:r>
      <w:r>
        <w:t xml:space="preserve">’s (2025) ideal AI user types, (b) AI Genie, and (c)</w:t>
      </w:r>
      <w:r>
        <w:t xml:space="preserve"> </w:t>
      </w:r>
      <w:r>
        <w:t xml:space="preserve">industrial-organizational psychology subject-matter experts. We evaluate</w:t>
      </w:r>
      <w:r>
        <w:t xml:space="preserve"> </w:t>
      </w:r>
      <w:r>
        <w:t xml:space="preserve">the internal consistency and underlying factor structure of each item</w:t>
      </w:r>
      <w:r>
        <w:t xml:space="preserve"> </w:t>
      </w:r>
      <w:r>
        <w:t xml:space="preserve">set. In doing so, this study has two primary objectives: first, to</w:t>
      </w:r>
      <w:r>
        <w:t xml:space="preserve"> </w:t>
      </w:r>
      <w:r>
        <w:t xml:space="preserve">provide evidence regarding whether qualitatively derived forms of</w:t>
      </w:r>
      <w:r>
        <w:t xml:space="preserve"> </w:t>
      </w:r>
      <w:r>
        <w:t xml:space="preserve">human–AI interaction can be operationalized as quantitative constructs,</w:t>
      </w:r>
      <w:r>
        <w:t xml:space="preserve"> </w:t>
      </w:r>
      <w:r>
        <w:t xml:space="preserve">and second, to examine whether different approaches to item generation</w:t>
      </w:r>
      <w:r>
        <w:t xml:space="preserve"> </w:t>
      </w:r>
      <w:r>
        <w:t xml:space="preserve">yield comparable representations of those constructs. More broadly,</w:t>
      </w:r>
      <w:r>
        <w:t xml:space="preserve"> </w:t>
      </w:r>
      <w:r>
        <w:t xml:space="preserve">establishing how employees differ in their use of AI represents an</w:t>
      </w:r>
      <w:r>
        <w:t xml:space="preserve"> </w:t>
      </w:r>
      <w:r>
        <w:t xml:space="preserve">important step toward understanding how AI may reshape established</w:t>
      </w:r>
      <w:r>
        <w:t xml:space="preserve"> </w:t>
      </w:r>
      <w:r>
        <w:t xml:space="preserve">features of job design and the psychological experience of work.</w:t>
      </w:r>
    </w:p>
    <w:p>
      <w:pPr>
        <w:pStyle w:val="BlockText"/>
      </w:pPr>
      <w:r>
        <w:rPr>
          <w:i/>
          <w:iCs/>
        </w:rPr>
        <w:t xml:space="preserve">Research Question</w:t>
      </w:r>
      <w:r>
        <w:t xml:space="preserve">: Does one instrument development procedure (ChatGPT, AI-GENIE, or SMEs) emerge as superior to the others?</w:t>
      </w:r>
    </w:p>
    <w:p>
      <w:pPr>
        <w:pStyle w:val="FirstParagraph"/>
      </w:pPr>
      <w:r>
        <w:t xml:space="preserve">OR</w:t>
      </w:r>
    </w:p>
    <w:p>
      <w:pPr>
        <w:pStyle w:val="BlockText"/>
      </w:pPr>
      <w:r>
        <w:rPr>
          <w:i/>
          <w:iCs/>
        </w:rPr>
        <w:t xml:space="preserve">Research Question</w:t>
      </w:r>
      <w:r>
        <w:t xml:space="preserve">:Research Question: Are AI-driven item-generation procedures (i.e., ChatGPT or AI-GENIE) as good as, or even superior to, traditionally generated SME items?</w:t>
      </w:r>
    </w:p>
    <w:p>
      <w:pPr>
        <w:pStyle w:val="SourceCode"/>
      </w:pPr>
      <w:r>
        <w:rPr>
          <w:rStyle w:val="VerbatimChar"/>
        </w:rPr>
        <w:t xml:space="preserve">Some items ( chat_ES_5 ) were negatively correlated with the first principal component and </w:t>
      </w:r>
      <w:r>
        <w:br/>
      </w:r>
      <w:r>
        <w:rPr>
          <w:rStyle w:val="VerbatimChar"/>
        </w:rPr>
        <w:t xml:space="preserve">probably should be reversed.  </w:t>
      </w:r>
      <w:r>
        <w:br/>
      </w:r>
      <w:r>
        <w:rPr>
          <w:rStyle w:val="VerbatimChar"/>
        </w:rPr>
        <w:t xml:space="preserve">To do this, run the function again with the 'check.keys=TRUE' option</w:t>
      </w:r>
    </w:p>
    <w:bookmarkEnd w:id="21"/>
    <w:bookmarkEnd w:id="22"/>
    <w:bookmarkStart w:id="29" w:name="method"/>
    <w:p>
      <w:pPr>
        <w:pStyle w:val="Heading1"/>
      </w:pPr>
      <w:r>
        <w:t xml:space="preserve">Method</w:t>
      </w:r>
    </w:p>
    <w:bookmarkStart w:id="23" w:name="participants"/>
    <w:p>
      <w:pPr>
        <w:pStyle w:val="Heading2"/>
      </w:pPr>
      <w:r>
        <w:t xml:space="preserve">Participants</w:t>
      </w:r>
    </w:p>
    <w:p>
      <w:pPr>
        <w:pStyle w:val="FirstParagraph"/>
      </w:pPr>
      <w:r>
        <w:t xml:space="preserve">124 undergraduate students responded (Mean age = 21.58, SD = 5.61). The students were given the choice of 50 different majors to choose from, with the greatest representation being Psychology at 38.71% (see</w:t>
      </w:r>
      <w:r>
        <w:t xml:space="preserve"> </w:t>
      </w:r>
      <w:hyperlink w:anchor="tbl-majors">
        <w:r>
          <w:rPr>
            <w:rStyle w:val="Hyperlink"/>
          </w:rPr>
          <w:t xml:space="preserve">Table 2</w:t>
        </w:r>
      </w:hyperlink>
      <w:r>
        <w:t xml:space="preserve">). When asked,</w:t>
      </w:r>
      <w:r>
        <w:t xml:space="preserve"> </w:t>
      </w:r>
      <w:r>
        <w:t xml:space="preserve">“Which context did you have in mind as you responded to the statements in this survey?”</w:t>
      </w:r>
      <w:r>
        <w:t xml:space="preserve">, 79.03% indicated</w:t>
      </w:r>
      <w:r>
        <w:t xml:space="preserve"> </w:t>
      </w:r>
      <w:r>
        <w:t xml:space="preserve">“school”</w:t>
      </w:r>
      <w:r>
        <w:t xml:space="preserve">, 12.9% indicated</w:t>
      </w:r>
      <w:r>
        <w:t xml:space="preserve"> </w:t>
      </w:r>
      <w:r>
        <w:t xml:space="preserve">“work”</w:t>
      </w:r>
      <w:r>
        <w:t xml:space="preserve">, and 7.26% stated</w:t>
      </w:r>
      <w:r>
        <w:t xml:space="preserve"> </w:t>
      </w:r>
      <w:r>
        <w:t xml:space="preserve">“other”</w:t>
      </w:r>
      <w:r>
        <w:t xml:space="preserve">.</w:t>
      </w:r>
    </w:p>
    <w:bookmarkEnd w:id="23"/>
    <w:bookmarkStart w:id="27"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 perceive meaningful work in tasks co-generated by Microsoft 365 Copilot specifically.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4" w:name="expertgenerated-items."/>
    <w:p>
      <w:pPr>
        <w:pStyle w:val="Heading3"/>
      </w:pPr>
      <w:r>
        <w:t xml:space="preserve">Expert–Generated Items.</w:t>
      </w:r>
    </w:p>
    <w:p>
      <w:pPr>
        <w:pStyle w:val="FirstParagraph"/>
      </w:pPr>
      <w:r>
        <w:t xml:space="preserve">Three of the researchers independently generated 6-8 items per dimension. Combined lists of items were discussed by dimension, and the initial list of 57 candidate items was reduced to</w:t>
      </w:r>
      <w:r>
        <w:t xml:space="preserve"> </w:t>
      </w:r>
      <w:r>
        <w:rPr>
          <w:i/>
          <w:iCs/>
        </w:rPr>
        <w:t xml:space="preserve">k</w:t>
      </w:r>
      <w:r>
        <w:t xml:space="preserve">=18 through consensus evaluation of item clarity and content domain coverage.</w:t>
      </w:r>
    </w:p>
    <w:bookmarkEnd w:id="24"/>
    <w:bookmarkStart w:id="25" w:name="chatgpt-generated-items."/>
    <w:p>
      <w:pPr>
        <w:pStyle w:val="Heading3"/>
      </w:pPr>
      <w:r>
        <w:t xml:space="preserve">ChatGPT-Generated Items.</w:t>
      </w:r>
    </w:p>
    <w:p>
      <w:pPr>
        <w:pStyle w:val="FirstParagraph"/>
      </w:pPr>
      <w:r>
        <w:t xml:space="preserve">The following prompt was input into ChatGPT version:</w:t>
      </w:r>
      <w:r>
        <w:t xml:space="preserve"> </w:t>
      </w:r>
      <w:r>
        <w:t xml:space="preserve">“I need your help with generating a tentative list of survey items. I am reading the attached paper for the third time. I am interested in the three AI user ideal types and the survey items that could be generated to measure an employee’s propensity toward one type or another.”</w:t>
      </w:r>
      <w:r>
        <w:t xml:space="preserve"> </w:t>
      </w:r>
      <w:r>
        <w:t xml:space="preserve">Eight items were generated per dimension, along with rationale for those item choices (total</w:t>
      </w:r>
      <w:r>
        <w:t xml:space="preserve"> </w:t>
      </w:r>
      <w:r>
        <w:rPr>
          <w:i/>
          <w:iCs/>
        </w:rPr>
        <w:t xml:space="preserve">k</w:t>
      </w:r>
      <w:r>
        <w:t xml:space="preserve">=24). See Appendix B for the full ChatGPT prompt and output, and Appendix C for a full list of items.</w:t>
      </w:r>
    </w:p>
    <w:bookmarkEnd w:id="25"/>
    <w:bookmarkStart w:id="26" w:name="ai-genie-generated-items."/>
    <w:p>
      <w:pPr>
        <w:pStyle w:val="Heading3"/>
      </w:pPr>
      <w:r>
        <w:t xml:space="preserve">AI-GENIE-Generated Items.</w:t>
      </w:r>
    </w:p>
    <w:p>
      <w:pPr>
        <w:pStyle w:val="FirstParagraph"/>
      </w:pPr>
      <w:r>
        <w:t xml:space="preserve">AI-GENIE is a tool for automated item development and validation using 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 are an expert scale developer and methodologist who writes high quality and succinct (although with a use a 7th grade reading level) items based 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w:t>
      </w:r>
      <w:r>
        <w:t xml:space="preserve"> </w:t>
      </w:r>
      <w:r>
        <w:t xml:space="preserve">Definitions of all three of the above dimensions, as well as example descriptors are provided as part of the prompt. Thirty items were initially generated. Combined lists of items were discussed by the researchers by dimension, and the most unique and clearly-written items were retained for the survey (total</w:t>
      </w:r>
      <w:r>
        <w:t xml:space="preserve"> </w:t>
      </w:r>
      <w:r>
        <w:rPr>
          <w:i/>
          <w:iCs/>
        </w:rPr>
        <w:t xml:space="preserve">k</w:t>
      </w:r>
      <w:r>
        <w:t xml:space="preserve">=21). See the Appendix for all study items.</w:t>
      </w:r>
    </w:p>
    <w:bookmarkEnd w:id="26"/>
    <w:bookmarkEnd w:id="27"/>
    <w:bookmarkStart w:id="28" w:name="procedure"/>
    <w:p>
      <w:pPr>
        <w:pStyle w:val="Heading2"/>
      </w:pPr>
      <w:r>
        <w:t xml:space="preserve">Procedure</w:t>
      </w:r>
    </w:p>
    <w:p>
      <w:pPr>
        <w:pStyle w:val="FirstParagraph"/>
      </w:pPr>
      <w:r>
        <w:t xml:space="preserve">After consent, students were asked to think of the context where they use AI the most frequently (for example, as a student or as an employee) and to keep that role in mind for the entire survey. Respondents were shown items within generative grouping, followed by a few demographic questions. They responded to all AI–Adopter items on a 5-point Likert-type scale ranging from 1 (strongly agree) to 5 (strongly disagree). Following the survey, respondents were debriefed and offered course credit for their time.</w:t>
      </w:r>
    </w:p>
    <w:bookmarkEnd w:id="28"/>
    <w:bookmarkEnd w:id="29"/>
    <w:bookmarkStart w:id="33" w:name="results"/>
    <w:p>
      <w:pPr>
        <w:pStyle w:val="Heading1"/>
      </w:pPr>
      <w:r>
        <w:t xml:space="preserve">Results</w:t>
      </w:r>
    </w:p>
    <w:bookmarkStart w:id="31" w:name="traditional-investigation"/>
    <w:p>
      <w:pPr>
        <w:pStyle w:val="Heading2"/>
      </w:pPr>
      <w:r>
        <w:t xml:space="preserve">Traditional Investigation</w:t>
      </w:r>
    </w:p>
    <w:p>
      <w:pPr>
        <w:pStyle w:val="FirstParagraph"/>
      </w:pPr>
      <w:r>
        <w:t xml:space="preserve">Inter–scale correlations as well as scale means and standard deviations are presented in</w:t>
      </w:r>
      <w:r>
        <w:t xml:space="preserve"> </w:t>
      </w:r>
      <w:hyperlink w:anchor="tbl-corrs">
        <w:r>
          <w:rPr>
            <w:rStyle w:val="Hyperlink"/>
          </w:rPr>
          <w:t xml:space="preserve">Table 3</w:t>
        </w:r>
      </w:hyperlink>
      <w:r>
        <w:t xml:space="preserve"> </w:t>
      </w:r>
      <w:r>
        <w:t xml:space="preserve">(note that the sequence of scale orderings is informed by</w:t>
      </w:r>
      <w:r>
        <w:t xml:space="preserve"> </w:t>
      </w:r>
      <w:r>
        <w:t xml:space="preserve">Campbell and Fiske (</w:t>
      </w:r>
      <w:hyperlink w:anchor="ref-campbell1959convergent">
        <w:r>
          <w:rPr>
            <w:rStyle w:val="Hyperlink"/>
          </w:rPr>
          <w:t xml:space="preserve">1959</w:t>
        </w:r>
      </w:hyperlink>
      <w:r>
        <w:t xml:space="preserve">)</w:t>
      </w:r>
      <w:r>
        <w:t xml:space="preserve">). Here, the Efficiency Seeking scales exhibit the least intra–dimension agreement (correlations across development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 Collaborative Optimiser scales exhibited consistently higher associations (ranging from a low of</w:t>
      </w:r>
      <w:r>
        <w:t xml:space="preserve"> </w:t>
      </w:r>
      <m:oMath>
        <m:sSub>
          <m:e>
            <m:r>
              <m:t>r</m:t>
            </m:r>
          </m:e>
          <m:sub>
            <m:r>
              <m:t>G</m:t>
            </m:r>
            <m:r>
              <m:t>e</m:t>
            </m:r>
            <m:r>
              <m:t>n</m:t>
            </m:r>
            <m:r>
              <m:t>i</m:t>
            </m:r>
            <m:r>
              <m:t>e</m:t>
            </m:r>
            <m:d>
              <m:dPr>
                <m:begChr m:val="("/>
                <m:sepChr m:val=""/>
                <m:endChr m:val=")"/>
                <m:grow/>
              </m:dPr>
              <m:e>
                <m:r>
                  <m:t>C</m:t>
                </m:r>
                <m:r>
                  <m:t>O</m:t>
                </m:r>
              </m:e>
            </m:d>
            <m:r>
              <m:rPr>
                <m:sty m:val="p"/>
              </m:rPr>
              <m:t>−</m:t>
            </m:r>
            <m:r>
              <m:t>S</m:t>
            </m:r>
            <m:r>
              <m:t>M</m:t>
            </m:r>
            <m:r>
              <m:t>E</m:t>
            </m:r>
            <m:d>
              <m:dPr>
                <m:begChr m:val="("/>
                <m:sepChr m:val=""/>
                <m:endChr m:val=")"/>
                <m:grow/>
              </m:dPr>
              <m:e>
                <m:r>
                  <m:t>C</m:t>
                </m:r>
                <m:r>
                  <m:t>O</m:t>
                </m:r>
              </m:e>
            </m:d>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d>
              <m:dPr>
                <m:begChr m:val="("/>
                <m:sepChr m:val=""/>
                <m:endChr m:val=")"/>
                <m:grow/>
              </m:dPr>
              <m:e>
                <m:r>
                  <m:t>P</m:t>
                </m:r>
                <m:r>
                  <m:t>I</m:t>
                </m:r>
              </m:e>
            </m:d>
            <m:r>
              <m:rPr>
                <m:sty m:val="p"/>
              </m:rPr>
              <m:t>−</m:t>
            </m:r>
            <m:r>
              <m:t>S</m:t>
            </m:r>
            <m:r>
              <m:t>M</m:t>
            </m:r>
            <m:r>
              <m:t>E</m:t>
            </m:r>
            <m:d>
              <m:dPr>
                <m:begChr m:val="("/>
                <m:sepChr m:val=""/>
                <m:endChr m:val=")"/>
                <m:grow/>
              </m:dPr>
              <m:e>
                <m:r>
                  <m:t>P</m:t>
                </m:r>
                <m:r>
                  <m:t>I</m:t>
                </m:r>
              </m:e>
            </m:d>
          </m:sub>
        </m:sSub>
      </m:oMath>
      <w:r>
        <w:t xml:space="preserve"> </w:t>
      </w:r>
      <w:r>
        <w:t xml:space="preserve">= .84,</w:t>
      </w:r>
      <w:r>
        <w:t xml:space="preserve"> </w:t>
      </w:r>
      <w:r>
        <w:rPr>
          <w:i/>
          <w:iCs/>
        </w:rPr>
        <w:t xml:space="preserve">p</w:t>
      </w:r>
      <w:r>
        <w:t xml:space="preserve"> </w:t>
      </w:r>
      <w:r>
        <w:t xml:space="preserve">&lt; .001). Discrimination across scale dimensions was highest for the Efficiency Seeking scales, particularly so for the Chat–GPT developed scale (and to a lesser degree, the SME–derived scale).</w:t>
      </w:r>
    </w:p>
    <w:p>
      <w:pPr>
        <w:pStyle w:val="BodyText"/>
      </w:pPr>
      <w:r>
        <w:t xml:space="preserve">Individual scale alphas were predominantly within the .8 to .9 range, although two scales exhibited suppressed values (the Chat–GPT Efficiency Seeking scale</w:t>
      </w:r>
      <w:r>
        <w:t xml:space="preserve"> </w:t>
      </w:r>
      <m:oMath>
        <m:r>
          <m:t>α</m:t>
        </m:r>
      </m:oMath>
      <w:r>
        <w:t xml:space="preserve"> </w:t>
      </w:r>
      <w:r>
        <w:t xml:space="preserve">= .69 the SME Efficiency Seeking scale</w:t>
      </w:r>
      <w:r>
        <w:t xml:space="preserve"> </w:t>
      </w:r>
      <m:oMath>
        <m:r>
          <m:t>α</m:t>
        </m:r>
      </m:oMath>
      <w:r>
        <w:t xml:space="preserve"> </w:t>
      </w:r>
      <w:r>
        <w:t xml:space="preserve">= .59). Note that: 1) these are the two scales that also exhibited the lowest average inter–scale associations (see</w:t>
      </w:r>
      <w:r>
        <w:t xml:space="preserve"> </w:t>
      </w:r>
      <w:hyperlink w:anchor="tbl-corrs">
        <w:r>
          <w:rPr>
            <w:rStyle w:val="Hyperlink"/>
          </w:rPr>
          <w:t xml:space="preserve">Table 3</w:t>
        </w:r>
      </w:hyperlink>
      <w:r>
        <w:t xml:space="preserve">), and 2) the numbers of items differed across scales (</w:t>
      </w:r>
      <w:r>
        <w:rPr>
          <w:i/>
          <w:iCs/>
        </w:rPr>
        <w:t xml:space="preserve">k</w:t>
      </w:r>
      <w:r>
        <w:t xml:space="preserve">’s = 6, 7, and 8). All</w:t>
      </w:r>
      <w:r>
        <w:t xml:space="preserve"> </w:t>
      </w:r>
      <m:oMath>
        <m:r>
          <m:t>α</m:t>
        </m:r>
      </m:oMath>
      <w:r>
        <w:t xml:space="preserve">’s are presented in</w:t>
      </w:r>
      <w:r>
        <w:t xml:space="preserve"> </w:t>
      </w:r>
      <w:hyperlink w:anchor="tbl-alphas">
        <w:r>
          <w:rPr>
            <w:rStyle w:val="Hyperlink"/>
          </w:rPr>
          <w:t xml:space="preserve">Table 1</w:t>
        </w:r>
      </w:hyperlink>
    </w:p>
    <w:p>
      <w:pPr>
        <w:pStyle w:val="BodyText"/>
      </w:pPr>
      <w:r>
        <w:t xml:space="preserve">Exploratory factor analyses (EFAs) were also conducted separately for each of the three item sets. One–, two–, and three–factor solutions were estimated for each item set using maximum likelihood estimation and an oblique Quartimin rotation. 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 multiple indicators.</w:t>
      </w:r>
    </w:p>
    <w:p>
      <w:pPr>
        <w:pStyle w:val="BodyText"/>
      </w:pPr>
      <w:r>
        <w:t xml:space="preserve">Parallel analysis suggested different levels of dimensionality across the item sets, with a one-factor solution for the AI Genie and SME item sets and a two-factor solution for the ChatGPT item set. Because the item pools were constructed to represent three conceptual domains, the three-factor solutions are discussed here to evaluate the pattern of item loadings and correspondence between the intended and emergent factor structures.</w:t>
      </w:r>
    </w:p>
    <w:p>
      <w:pPr>
        <w:pStyle w:val="BodyText"/>
      </w:pPr>
      <w:r>
        <w:t xml:space="preserve">The three-factor solution for the AI Genie-generated items demonstrated substantially better fit compared to the one- and two-factor models, χ²(150) = 207.64, p = .001, RMSEA = .064, 90% CI [.041, .084], CFI = .960, TLI = .944, and SRMR = .036. Item loading patterns provided partial evidence of a three-factor structure, albeit with several non–hypothesized associations and substantive cross–loadings (see</w:t>
      </w:r>
      <w:r>
        <w:t xml:space="preserve"> </w:t>
      </w:r>
      <w:hyperlink w:anchor="fig-net-genie">
        <w:r>
          <w:rPr>
            <w:rStyle w:val="Hyperlink"/>
          </w:rPr>
          <w:t xml:space="preserve">Figure 3</w:t>
        </w:r>
      </w:hyperlink>
      <w:r>
        <w:t xml:space="preserve"> </w:t>
      </w:r>
      <w:r>
        <w:t xml:space="preserve">for a visual representation)</w:t>
      </w:r>
      <w:r>
        <w:rPr>
          <w:rStyle w:val="FootnoteReference"/>
        </w:rPr>
        <w:footnoteReference w:id="30"/>
      </w:r>
      <w:r>
        <w:t xml:space="preserve">. Factors 1 and 2 exhibited a significant correlation (r = .762, p &lt; .05), whereas the correlations of Factor 3 with Factors 1 (r = .295) and 2 (r = .289) did not approach statistical significance. Overall, the three-factor model demonstrated relatively good fit, the loading pattern suggests two somewhat clear factors with item cross loadings and an ambiguous third factor.</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 p = .034, RMSEA = .048, 90% CI [.015, .071], CFI =</w:t>
      </w:r>
      <w:r>
        <w:t xml:space="preserve"> </w:t>
      </w:r>
      <w:r>
        <w:t xml:space="preserve">.962, TLI = .947, and SRMR = .050. All three factors were significantly correlated at the 5% level threshold (p &lt; .05) . Factor 1 correlated .441 with Factor 2 and .635 with Factor 3, while Factors 2 and 3 correlated .458. Overall, the three-factor model provided strong fit, although the like the AI_Genie items, loadings did not create three distinct item groupings (see</w:t>
      </w:r>
      <w:r>
        <w:t xml:space="preserve"> </w:t>
      </w:r>
      <w:hyperlink w:anchor="fig-net-sme">
        <w:r>
          <w:rPr>
            <w:rStyle w:val="Hyperlink"/>
          </w:rPr>
          <w:t xml:space="preserve">Figure 2</w:t>
        </w:r>
      </w:hyperlink>
      <w:r>
        <w:t xml:space="preserve">).</w:t>
      </w:r>
    </w:p>
    <w:p>
      <w:pPr>
        <w:pStyle w:val="BodyText"/>
      </w:pPr>
      <w:r>
        <w:t xml:space="preserve">The three-factor model for the ChatGPT-Generated items returned the weakest structural evidence (χ²(207) = 347.09, p &lt; .001, RMSEA = .084, 90% CI [.068, .099], CFI = .879, TLI = .838, and SRMR = .053). Factors 1 and 2 were significantly correlated (r = .477, p &lt; .05), while Factor 3 was did not have a significant correlation with Factor 1 (r = -.029) or Factor 2 (r = -.146). Visual representation of loadings is presented in</w:t>
      </w:r>
      <w:r>
        <w:t xml:space="preserve"> </w:t>
      </w:r>
      <w:hyperlink w:anchor="fig-net-gpt">
        <w:r>
          <w:rPr>
            <w:rStyle w:val="Hyperlink"/>
          </w:rPr>
          <w:t xml:space="preserve">Figure 1</w:t>
        </w:r>
      </w:hyperlink>
      <w:r>
        <w:t xml:space="preserve">.</w:t>
      </w:r>
    </w:p>
    <w:p>
      <w:pPr>
        <w:pStyle w:val="BodyText"/>
      </w:pPr>
      <w:r>
        <w:t xml:space="preserve">Taken together, these results suggest that the ChatGPT-generated items exhibited meaningful multidimensionality, but the observed structure did not cleanly produce loadings indicating three distinct factors. Additionally, the</w:t>
      </w:r>
      <w:r>
        <w:t xml:space="preserve"> </w:t>
      </w:r>
      <w:r>
        <w:t xml:space="preserve">ChatGPT-generated items demonstrated worse model fit than the corresponding SME and AI Genie item sets.</w:t>
      </w:r>
    </w:p>
    <w:bookmarkEnd w:id="31"/>
    <w:bookmarkStart w:id="32" w:name="semantic-investigation"/>
    <w:p>
      <w:pPr>
        <w:pStyle w:val="Heading2"/>
      </w:pPr>
      <w:r>
        <w:t xml:space="preserve">Semantic Investigation</w:t>
      </w:r>
    </w:p>
    <w:p>
      <w:pPr>
        <w:pStyle w:val="FirstParagraph"/>
      </w:pPr>
      <w:r>
        <w:t xml:space="preserve">Exploratory Graph Analyses do not specify factors in advance. Instead they estimates a network directly among the items, 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 and</w:t>
      </w:r>
      <w:r>
        <w:t xml:space="preserve"> </w:t>
      </w:r>
      <w:hyperlink w:anchor="fig-ega-genie">
        <w:r>
          <w:rPr>
            <w:rStyle w:val="Hyperlink"/>
          </w:rPr>
          <w:t xml:space="preserve">Figure 6</w:t>
        </w:r>
      </w:hyperlink>
      <w:r>
        <w:t xml:space="preserve">.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bookmarkEnd w:id="32"/>
    <w:bookmarkEnd w:id="33"/>
    <w:bookmarkStart w:id="35" w:name="discussion"/>
    <w:p>
      <w:pPr>
        <w:pStyle w:val="Heading1"/>
      </w:pPr>
      <w:r>
        <w:t xml:space="preserve">Discussion</w:t>
      </w:r>
    </w:p>
    <w:p>
      <w:pPr>
        <w:pStyle w:val="Compact"/>
        <w:numPr>
          <w:ilvl w:val="0"/>
          <w:numId w:val="1001"/>
        </w:numPr>
      </w:pPr>
      <w:r>
        <w:t xml:space="preserve">methodological contribution – EGAs plus EFAs, empirical vs semantic</w:t>
      </w:r>
    </w:p>
    <w:p>
      <w:pPr>
        <w:pStyle w:val="Compact"/>
        <w:numPr>
          <w:ilvl w:val="0"/>
          <w:numId w:val="1002"/>
        </w:numPr>
      </w:pPr>
      <w:r>
        <w:t xml:space="preserve">cross–loading clearing up</w:t>
      </w:r>
    </w:p>
    <w:p>
      <w:pPr>
        <w:pStyle w:val="Compact"/>
        <w:numPr>
          <w:ilvl w:val="0"/>
          <w:numId w:val="1003"/>
        </w:numPr>
      </w:pPr>
      <w:r>
        <w:t xml:space="preserve">theoretical contribution (AI adopter type)</w:t>
      </w:r>
    </w:p>
    <w:p>
      <w:pPr>
        <w:pStyle w:val="Compact"/>
        <w:numPr>
          <w:ilvl w:val="0"/>
          <w:numId w:val="1004"/>
        </w:numPr>
      </w:pPr>
      <w:r>
        <w:t xml:space="preserve">distinct types vs different gradients of expertise (degree of AI collaboration)</w:t>
      </w:r>
    </w:p>
    <w:bookmarkStart w:id="34" w:name="limitations"/>
    <w:p>
      <w:pPr>
        <w:pStyle w:val="Heading2"/>
      </w:pPr>
      <w:r>
        <w:t xml:space="preserve">Limitations</w:t>
      </w:r>
    </w:p>
    <w:p>
      <w:pPr>
        <w:pStyle w:val="FirstParagraph"/>
      </w:pPr>
      <w:r>
        <w:t xml:space="preserve">Sample size as well as well as sample characteristics (degree of AI integration within workplace)</w:t>
      </w:r>
    </w:p>
    <w:bookmarkEnd w:id="34"/>
    <w:bookmarkEnd w:id="35"/>
    <w:bookmarkStart w:id="72" w:name="references"/>
    <w:p>
      <w:pPr>
        <w:pStyle w:val="Heading1"/>
      </w:pPr>
      <w:r>
        <w:t xml:space="preserve">References</w:t>
      </w:r>
    </w:p>
    <w:bookmarkStart w:id="44" w:name="refs"/>
    <w:bookmarkStart w:id="36"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6"/>
    <w:bookmarkStart w:id="37"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37"/>
    <w:bookmarkStart w:id="38" w:name="ref-campbell1959convergent"/>
    <w:p>
      <w:pPr>
        <w:pStyle w:val="Bibliography"/>
      </w:pPr>
      <w:r>
        <w:t xml:space="preserve">Campbell, D. T., &amp; Fiske, D. W. (1959). Convergent and discriminant validation by the multitrait-multimethod matrix.</w:t>
      </w:r>
      <w:r>
        <w:t xml:space="preserve"> </w:t>
      </w:r>
      <w:r>
        <w:rPr>
          <w:i/>
          <w:iCs/>
        </w:rPr>
        <w:t xml:space="preserve">Psychological Bulletin</w:t>
      </w:r>
      <w:r>
        <w:t xml:space="preserve">,</w:t>
      </w:r>
      <w:r>
        <w:t xml:space="preserve"> </w:t>
      </w:r>
      <w:r>
        <w:rPr>
          <w:i/>
          <w:iCs/>
        </w:rPr>
        <w:t xml:space="preserve">56</w:t>
      </w:r>
      <w:r>
        <w:t xml:space="preserve">(2), 81.</w:t>
      </w:r>
    </w:p>
    <w:bookmarkEnd w:id="38"/>
    <w:bookmarkStart w:id="39"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39"/>
    <w:bookmarkStart w:id="40"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0"/>
    <w:bookmarkStart w:id="41"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1"/>
    <w:bookmarkStart w:id="42"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2"/>
    <w:bookmarkStart w:id="43"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3"/>
    <w:bookmarkEnd w:id="44"/>
    <w:bookmarkStart w:id="45"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Human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 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bl>
    <w:bookmarkEnd w:id="45"/>
    <w:p>
      <w:r>
        <w:br w:type="page"/>
      </w:r>
    </w:p>
    <w:bookmarkStart w:id="46" w:name="tbl-majors"/>
    <w:p>
      <w:pPr>
        <w:pStyle w:val="FigureTitle"/>
      </w:pPr>
      <w:r>
        <w:t xml:space="preserve">Table 2</w:t>
      </w:r>
    </w:p>
    <w:p>
      <w:pPr>
        <w:pStyle w:val="Caption"/>
      </w:pPr>
      <w:r>
        <w:t xml:space="preserve">Indicated major (current study respondents)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2880"/>
        <w:gridCol w:w="2880"/>
      </w:tblGrid>
      <w:tr>
        <w:trPr>
          <w:trHeight w:val="360"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Major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Total (n)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Percent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Applied Science   </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Applied Social Science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Business Administration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Networking &amp; Information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and Electrical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Construction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15.32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Criminal Justice &amp; Rehabilitation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Dietetics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Early Childhood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Food Science &amp;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Game, Design and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Graphic Design &amp; Interactive 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Health, Wellness &amp; Fitness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Human Development &amp; Family Studies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Information &amp; Communication Technology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Management (was Industrial Management)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Manufacturing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Marketing &amp; Business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Mechanical Engineering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Packaging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Psychology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38.71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Studio Art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Undeclared 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Video Production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bl>
    <w:bookmarkEnd w:id="46"/>
    <w:p>
      <w:r>
        <w:br w:type="page"/>
      </w:r>
    </w:p>
    <w:bookmarkStart w:id="47" w:name="tbl-corrs"/>
    <w:p>
      <w:pPr>
        <w:pStyle w:val="FigureTitle"/>
      </w:pPr>
      <w:r>
        <w:t xml:space="preserve">Table 3</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p>
        </w:tc>
        <w:tc>
          <w:tcPr/>
          <w:p>
            <w:pPr>
              <w:pStyle w:val="Compact"/>
              <w:jc w:val="left"/>
            </w:pPr>
            <m:oMath>
              <m:r>
                <m:t>S</m:t>
              </m:r>
              <m:r>
                <m:t>D</m:t>
              </m:r>
            </m:oMath>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bookmarkEnd w:id="47"/>
    <w:p>
      <w:r>
        <w:br w:type="page"/>
      </w:r>
    </w:p>
    <w:bookmarkStart w:id="51" w:name="fig-net-gpt"/>
    <w:p>
      <w:pPr>
        <w:pStyle w:val="FigureTitle"/>
      </w:pPr>
      <w:r>
        <w:t xml:space="preserve">Figure 1</w:t>
      </w:r>
    </w:p>
    <w:p>
      <w:pPr>
        <w:pStyle w:val="Caption"/>
      </w:pPr>
      <w:r>
        <w:t xml:space="preserve">EFA loading network, Chat GPT–generated items (3 factors, ML, oblimin; |loading| ≥ .30)</w:t>
      </w:r>
    </w:p>
    <w:p>
      <w:pPr>
        <w:pStyle w:val="FigureWithoutNote"/>
      </w:pPr>
      <w:r>
        <w:drawing>
          <wp:inline>
            <wp:extent cx="5943600" cy="5943600"/>
            <wp:effectExtent b="0" l="0" r="0" t="0"/>
            <wp:docPr descr="" title="" id="49" name="Picture"/>
            <a:graphic>
              <a:graphicData uri="http://schemas.openxmlformats.org/drawingml/2006/picture">
                <pic:pic>
                  <pic:nvPicPr>
                    <pic:cNvPr descr="AI_JCM_files/figure-docx/fig-net-gpt-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p>
      <w:r>
        <w:br w:type="page"/>
      </w:r>
    </w:p>
    <w:bookmarkStart w:id="55"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3" name="Picture"/>
            <a:graphic>
              <a:graphicData uri="http://schemas.openxmlformats.org/drawingml/2006/picture">
                <pic:pic>
                  <pic:nvPicPr>
                    <pic:cNvPr descr="AI_JCM_files/figure-docx/fig-net-sme-1.png" id="54" name="Picture"/>
                    <pic:cNvPicPr>
                      <a:picLocks noChangeArrowheads="1" noChangeAspect="1"/>
                    </pic:cNvPicPr>
                  </pic:nvPicPr>
                  <pic:blipFill>
                    <a:blip r:embed="rId52"/>
                    <a:stretch>
                      <a:fillRect/>
                    </a:stretch>
                  </pic:blipFill>
                  <pic:spPr bwMode="auto">
                    <a:xfrm>
                      <a:off x="0" y="0"/>
                      <a:ext cx="5943600" cy="5943600"/>
                    </a:xfrm>
                    <a:prstGeom prst="rect">
                      <a:avLst/>
                    </a:prstGeom>
                    <a:noFill/>
                    <a:ln w="9525">
                      <a:noFill/>
                      <a:headEnd/>
                      <a:tailEnd/>
                    </a:ln>
                  </pic:spPr>
                </pic:pic>
              </a:graphicData>
            </a:graphic>
          </wp:inline>
        </w:drawing>
      </w:r>
    </w:p>
    <w:bookmarkEnd w:id="55"/>
    <w:p>
      <w:r>
        <w:br w:type="page"/>
      </w:r>
    </w:p>
    <w:bookmarkStart w:id="59"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57" name="Picture"/>
            <a:graphic>
              <a:graphicData uri="http://schemas.openxmlformats.org/drawingml/2006/picture">
                <pic:pic>
                  <pic:nvPicPr>
                    <pic:cNvPr descr="AI_JCM_files/figure-docx/fig-net-genie-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bookmarkEnd w:id="59"/>
    <w:p>
      <w:r>
        <w:br w:type="page"/>
      </w:r>
    </w:p>
    <w:bookmarkStart w:id="63" w:name="fig-ega-gpt"/>
    <w:p>
      <w:pPr>
        <w:pStyle w:val="FigureTitle"/>
      </w:pPr>
      <w:r>
        <w:t xml:space="preserve">Figure 4</w:t>
      </w:r>
    </w:p>
    <w:p>
      <w:pPr>
        <w:pStyle w:val="Caption"/>
      </w:pPr>
      <w:r>
        <w:t xml:space="preserve">Exploratory Graph Analysis (Chat GPT)</w:t>
      </w:r>
    </w:p>
    <w:p>
      <w:pPr>
        <w:pStyle w:val="FigureWithoutNote"/>
      </w:pPr>
      <w:r>
        <w:drawing>
          <wp:inline>
            <wp:extent cx="5943600" cy="5943600"/>
            <wp:effectExtent b="0" l="0" r="0" t="0"/>
            <wp:docPr descr="" title="" id="61" name="Picture"/>
            <a:graphic>
              <a:graphicData uri="http://schemas.openxmlformats.org/drawingml/2006/picture">
                <pic:pic>
                  <pic:nvPicPr>
                    <pic:cNvPr descr="AI_JCM_files/figure-docx/fig-ega-gpt-1.png" id="62" name="Picture"/>
                    <pic:cNvPicPr>
                      <a:picLocks noChangeArrowheads="1" noChangeAspect="1"/>
                    </pic:cNvPicPr>
                  </pic:nvPicPr>
                  <pic:blipFill>
                    <a:blip r:embed="rId60"/>
                    <a:stretch>
                      <a:fillRect/>
                    </a:stretch>
                  </pic:blipFill>
                  <pic:spPr bwMode="auto">
                    <a:xfrm>
                      <a:off x="0" y="0"/>
                      <a:ext cx="5943600" cy="5943600"/>
                    </a:xfrm>
                    <a:prstGeom prst="rect">
                      <a:avLst/>
                    </a:prstGeom>
                    <a:noFill/>
                    <a:ln w="9525">
                      <a:noFill/>
                      <a:headEnd/>
                      <a:tailEnd/>
                    </a:ln>
                  </pic:spPr>
                </pic:pic>
              </a:graphicData>
            </a:graphic>
          </wp:inline>
        </w:drawing>
      </w:r>
    </w:p>
    <w:bookmarkEnd w:id="63"/>
    <w:p>
      <w:r>
        <w:br w:type="page"/>
      </w:r>
    </w:p>
    <w:bookmarkStart w:id="67"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5" name="Picture"/>
            <a:graphic>
              <a:graphicData uri="http://schemas.openxmlformats.org/drawingml/2006/picture">
                <pic:pic>
                  <pic:nvPicPr>
                    <pic:cNvPr descr="AI_JCM_files/figure-docx/fig-ega-sm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p>
      <w:r>
        <w:br w:type="page"/>
      </w:r>
    </w:p>
    <w:bookmarkStart w:id="71"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69" name="Picture"/>
            <a:graphic>
              <a:graphicData uri="http://schemas.openxmlformats.org/drawingml/2006/picture">
                <pic:pic>
                  <pic:nvPicPr>
                    <pic:cNvPr descr="AI_JCM_files/figure-docx/fig-ega-genie-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bookmarkEnd w:id="71"/>
    <w:p>
      <w:r>
        <w:br w:type="page"/>
      </w:r>
    </w:p>
    <w:bookmarkEnd w:id="7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coloured nodes are the survey items, and their colour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colour, and each item would connect to only one factor. Factors that collect items of mixed colours, or items that connect to several factors (cross-loadings), suggest the intended three-type structure is not holding up.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2026-10-02T18:57:28Z</dcterms:created>
  <dcterms:modified xsi:type="dcterms:W3CDTF">2026-10-02T18:57:28Z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AI–Adopters: Three scale construction procedures</vt:lpwstr>
  </property>
  <property fmtid="{D5CDD505-2E9C-101B-9397-08002B2CF9AE}" pid="6" name="apatitledisplay">
    <vt:lpwstr>AI–Adopters: Three scale construction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2322</vt:lpwstr>
  </property>
  <property fmtid="{D5CDD505-2E9C-101B-9397-08002B2CF9AE}" pid="61" name="zerocitations">
    <vt:lpwstr>False</vt:lpwstr>
  </property>
</Properties>
</file>