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7.png" ContentType="image/png"/>
  <Override PartName="/word/media/rId59.png" ContentType="image/png"/>
  <Override PartName="/word/media/rId63.png" ContentType="image/png"/>
  <Override PartName="/word/media/rId55.png" ContentType="image/png"/>
  <Override PartName="/word/media/rId47.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firstheader"/>
    <w:p>
      <w:pPr>
        <w:pStyle w:val="Heading1"/>
      </w:pPr>
      <w:r>
        <w:t xml:space="preserve">AI–Adopters: Three scale construction procedures</w:t>
      </w:r>
    </w:p>
    <w:p>
      <w:pPr>
        <w:pStyle w:val="FirstParagraph"/>
      </w:pPr>
      <w:r>
        <w:t xml:space="preserve">Artificial intelligence (AI) has the potential to alter the fundamental</w:t>
      </w:r>
      <w:r>
        <w:t xml:space="preserve"> </w:t>
      </w:r>
      <w:r>
        <w:t xml:space="preserve">design and experience of work. The Job Characteristics Model</w:t>
      </w:r>
      <w:r>
        <w:t xml:space="preserve"> </w:t>
      </w:r>
      <w:r>
        <w:t xml:space="preserve">(</w:t>
      </w:r>
      <w:hyperlink w:anchor="ref-hackman1975development">
        <w:r>
          <w:rPr>
            <w:rStyle w:val="Hyperlink"/>
          </w:rPr>
          <w:t xml:space="preserve">Hackman &amp; Oldham, 1975</w:t>
        </w:r>
      </w:hyperlink>
      <w:r>
        <w:t xml:space="preserve">,</w:t>
      </w:r>
      <w:r>
        <w:t xml:space="preserve"> </w:t>
      </w:r>
      <w:hyperlink w:anchor="ref-hackman1976motivation">
        <w:r>
          <w:rPr>
            <w:rStyle w:val="Hyperlink"/>
          </w:rPr>
          <w:t xml:space="preserve">1976</w:t>
        </w:r>
      </w:hyperlink>
      <w:r>
        <w:t xml:space="preserve">)</w:t>
      </w:r>
      <w:r>
        <w:t xml:space="preserve"> </w:t>
      </w:r>
      <w:r>
        <w:t xml:space="preserve">proposes that core job characteristics shape critical psychological states and, ultimately, important employee outcomes. Emerging research suggests that digitization may substantially alter these characteristics. For example, digital technologies may automate repetitive tasks, but they may also fragment work, limit skill</w:t>
      </w:r>
      <w:r>
        <w:t xml:space="preserve"> </w:t>
      </w:r>
      <w:r>
        <w:t xml:space="preserve">use, or diminish employees’ sense of ownership over their work.</w:t>
      </w:r>
      <w:r>
        <w:t xml:space="preserve"> </w:t>
      </w:r>
      <w:r>
        <w:t xml:space="preserve">Arora and Garg (</w:t>
      </w:r>
      <w:hyperlink w:anchor="ref-arora2025meaningful">
        <w:r>
          <w:rPr>
            <w:rStyle w:val="Hyperlink"/>
          </w:rPr>
          <w:t xml:space="preserve">2025</w:t>
        </w:r>
      </w:hyperlink>
      <w:r>
        <w:t xml:space="preserve">)</w:t>
      </w:r>
      <w:r>
        <w:t xml:space="preserve">’s review of meaningful work in the digital age</w:t>
      </w:r>
      <w:r>
        <w:t xml:space="preserve"> </w:t>
      </w:r>
      <w:r>
        <w:t xml:space="preserve">identifies autonomy, skill variety, feedback, task significance, and</w:t>
      </w:r>
      <w:r>
        <w:t xml:space="preserve"> </w:t>
      </w:r>
      <w:r>
        <w:t xml:space="preserve">task identity as job characteristics affected by workplace digitization.</w:t>
      </w:r>
      <w:r>
        <w:t xml:space="preserve"> </w:t>
      </w:r>
      <w:r>
        <w:t xml:space="preserve">As AI’s role in the design and performance of work grows it is important</w:t>
      </w:r>
      <w:r>
        <w:t xml:space="preserve"> </w:t>
      </w:r>
      <w:r>
        <w:t xml:space="preserve">to understand how employees engage with the technology.</w:t>
      </w:r>
    </w:p>
    <w:p>
      <w:pPr>
        <w:pStyle w:val="BodyText"/>
      </w:pPr>
      <w:r>
        <w:t xml:space="preserve">Conceptualizing and measuring employee AI use is challenging. Existing</w:t>
      </w:r>
      <w:r>
        <w:t xml:space="preserve"> </w:t>
      </w:r>
      <w:r>
        <w:t xml:space="preserve">research operationalizes AI use in terms of the extent or intensity it</w:t>
      </w:r>
      <w:r>
        <w:t xml:space="preserve"> </w:t>
      </w:r>
      <w:r>
        <w:t xml:space="preserve">is used to perform work. For example,</w:t>
      </w:r>
      <w:r>
        <w:t xml:space="preserve"> </w:t>
      </w:r>
      <w:r>
        <w:t xml:space="preserve">Zhang et al. (</w:t>
      </w:r>
      <w:hyperlink w:anchor="ref-zhang2026artificial">
        <w:r>
          <w:rPr>
            <w:rStyle w:val="Hyperlink"/>
          </w:rPr>
          <w:t xml:space="preserve">2026</w:t>
        </w:r>
      </w:hyperlink>
      <w:r>
        <w:t xml:space="preserve">)</w:t>
      </w:r>
      <w:r>
        <w:t xml:space="preserve"> </w:t>
      </w:r>
      <w:r>
        <w:t xml:space="preserve">measure AI</w:t>
      </w:r>
      <w:r>
        <w:t xml:space="preserve"> </w:t>
      </w:r>
      <w:r>
        <w:t xml:space="preserve">usage with items assessing the degree to which employees use AI in</w:t>
      </w:r>
      <w:r>
        <w:t xml:space="preserve"> </w:t>
      </w:r>
      <w:r>
        <w:t xml:space="preserve">carrying out their job functions. Increasing AI integration may alter</w:t>
      </w:r>
      <w:r>
        <w:t xml:space="preserve"> </w:t>
      </w:r>
      <w:r>
        <w:t xml:space="preserve">employees’ routines, role boundaries, autonomy, and skills, suggesting</w:t>
      </w:r>
      <w:r>
        <w:t xml:space="preserve"> </w:t>
      </w:r>
      <w:r>
        <w:t xml:space="preserve">that the potential impact of AI use likely goes beyond frequency or</w:t>
      </w:r>
      <w:r>
        <w:t xml:space="preserve"> </w:t>
      </w:r>
      <w:r>
        <w:t xml:space="preserve">intensity. Two employees could report similarly high levels of AI use</w:t>
      </w:r>
      <w:r>
        <w:t xml:space="preserve"> </w:t>
      </w:r>
      <w:r>
        <w:t xml:space="preserve">while interacting with the technology in fundamentally different ways.</w:t>
      </w:r>
      <w:r>
        <w:t xml:space="preserve"> </w:t>
      </w:r>
      <w:r>
        <w:t xml:space="preserve">One employee may primarily use AI to automate routine administrative</w:t>
      </w:r>
      <w:r>
        <w:t xml:space="preserve"> </w:t>
      </w:r>
      <w:r>
        <w:t xml:space="preserve">work, another may use it to generate and refine ideas, and still another</w:t>
      </w:r>
      <w:r>
        <w:t xml:space="preserve"> </w:t>
      </w:r>
      <w:r>
        <w:t xml:space="preserve">may engage with AI iteratively as a source of expertise or cognitive</w:t>
      </w:r>
      <w:r>
        <w:t xml:space="preserve"> </w:t>
      </w:r>
      <w:r>
        <w:t xml:space="preserve">challenge. Accordingly, understanding AI-enabled work may require</w:t>
      </w:r>
      <w:r>
        <w:t xml:space="preserve"> </w:t>
      </w:r>
      <w:r>
        <w:t xml:space="preserve">measures that capture how they incorporate AI into their work.</w:t>
      </w:r>
    </w:p>
    <w:p>
      <w:pPr>
        <w:pStyle w:val="BodyText"/>
      </w:pPr>
      <w:r>
        <w:t xml:space="preserve">Callari and Puppione (</w:t>
      </w:r>
      <w:hyperlink w:anchor="ref-callari2025meaningful">
        <w:r>
          <w:rPr>
            <w:rStyle w:val="Hyperlink"/>
          </w:rPr>
          <w:t xml:space="preserve">2025</w:t>
        </w:r>
      </w:hyperlink>
      <w:r>
        <w:t xml:space="preserve">)</w:t>
      </w:r>
      <w:r>
        <w:t xml:space="preserve"> </w:t>
      </w:r>
      <w:r>
        <w:t xml:space="preserve">provide one framework for distinguish forms of AI</w:t>
      </w:r>
      <w:r>
        <w:t xml:space="preserve"> </w:t>
      </w:r>
      <w:r>
        <w:t xml:space="preserve">use. Drawing on qualitative data from employees using Microsoft 365</w:t>
      </w:r>
      <w:r>
        <w:t xml:space="preserve"> </w:t>
      </w:r>
      <w:r>
        <w:t xml:space="preserve">Copilot, they identified three ideal types of AI users</w:t>
      </w:r>
      <w:r>
        <w:t xml:space="preserve"> </w:t>
      </w:r>
      <w:r>
        <w:t xml:space="preserve">Efficiency-Seeking, Pragmatic Integrators, and Collaborative Optimizers.</w:t>
      </w:r>
      <w:r>
        <w:t xml:space="preserve"> </w:t>
      </w:r>
      <w:r>
        <w:t xml:space="preserve">These ideal types imply qualitatively different relationships between AI</w:t>
      </w:r>
      <w:r>
        <w:t xml:space="preserve"> </w:t>
      </w:r>
      <w:r>
        <w:t xml:space="preserve">and features of work including autonomy, skill utilization, cognitive</w:t>
      </w:r>
      <w:r>
        <w:t xml:space="preserve"> </w:t>
      </w:r>
      <w:r>
        <w:t xml:space="preserve">effort, and decision-making. The</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framework</w:t>
      </w:r>
      <w:r>
        <w:t xml:space="preserve"> </w:t>
      </w:r>
      <w:r>
        <w:t xml:space="preserve">suggests that AI use is not a uniform behavior but rather is best</w:t>
      </w:r>
      <w:r>
        <w:t xml:space="preserve"> </w:t>
      </w:r>
      <w:r>
        <w:t xml:space="preserve">considered multidimensional.Yet, translating qualitative ideal types</w:t>
      </w:r>
      <w:r>
        <w:t xml:space="preserve"> </w:t>
      </w:r>
      <w:r>
        <w:t xml:space="preserve">into quantitative measures presents a challenge. Ideal types represent</w:t>
      </w:r>
      <w:r>
        <w:t xml:space="preserve"> </w:t>
      </w:r>
      <w:r>
        <w:t xml:space="preserve">recurring patterns of behavior and experience, but they do not</w:t>
      </w:r>
      <w:r>
        <w:t xml:space="preserve"> </w:t>
      </w:r>
      <w:r>
        <w:t xml:space="preserve">necessarily correspond to distinct psychological constructs. Additional</w:t>
      </w:r>
      <w:r>
        <w:t xml:space="preserve"> </w:t>
      </w:r>
      <w:r>
        <w:t xml:space="preserve">work is needed to determine whether AI user types such as those</w:t>
      </w:r>
      <w:r>
        <w:t xml:space="preserve"> </w:t>
      </w:r>
      <w:r>
        <w:t xml:space="preserve">presented by</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can be measured with survey</w:t>
      </w:r>
      <w:r>
        <w:t xml:space="preserve"> </w:t>
      </w:r>
      <w:r>
        <w:t xml:space="preserve">items. Interestingly, the measurement of AI use is potentially enriched</w:t>
      </w:r>
      <w:r>
        <w:t xml:space="preserve"> </w:t>
      </w:r>
      <w:r>
        <w:t xml:space="preserve">by recent technological developments. For a long time, the scale</w:t>
      </w:r>
      <w:r>
        <w:t xml:space="preserve"> </w:t>
      </w:r>
      <w:r>
        <w:t xml:space="preserve">development process has relied on the efforts of researchers and</w:t>
      </w:r>
      <w:r>
        <w:t xml:space="preserve"> </w:t>
      </w:r>
      <w:r>
        <w:t xml:space="preserve">subject-matter experts to turn construct definitions to survey items</w:t>
      </w:r>
      <w:r>
        <w:t xml:space="preserve"> </w:t>
      </w:r>
      <w:r>
        <w:t xml:space="preserve">measuring the construct. Now, generative AI now provides tools for</w:t>
      </w:r>
      <w:r>
        <w:t xml:space="preserve"> </w:t>
      </w:r>
      <w:r>
        <w:t xml:space="preserve">producing surveys that measure constructs from idea generation to item</w:t>
      </w:r>
      <w:r>
        <w:t xml:space="preserve"> </w:t>
      </w:r>
      <w:r>
        <w:t xml:space="preserve">testing. However, the question of whether survey items produced by</w:t>
      </w:r>
      <w:r>
        <w:t xml:space="preserve"> </w:t>
      </w:r>
      <w:r>
        <w:t xml:space="preserve">generative AI can properly measure constructs. The present study is an</w:t>
      </w:r>
      <w:r>
        <w:t xml:space="preserve"> </w:t>
      </w:r>
      <w:r>
        <w:t xml:space="preserve">exploratory comparison of three approaches to developing items intended</w:t>
      </w:r>
      <w:r>
        <w:t xml:space="preserve"> </w:t>
      </w:r>
      <w:r>
        <w:t xml:space="preserve">to assess employees’ orientations toward workplace AI use. Specifically,</w:t>
      </w:r>
      <w:r>
        <w:t xml:space="preserve"> </w:t>
      </w:r>
      <w:r>
        <w:t xml:space="preserve">we compare items generated through (a) ChatGPT based on</w:t>
      </w:r>
      <w:r>
        <w:t xml:space="preserve"> </w:t>
      </w:r>
      <w:r>
        <w:t xml:space="preserve">Callari and Puppione (</w:t>
      </w:r>
      <w:hyperlink w:anchor="ref-callari2025meaningful">
        <w:r>
          <w:rPr>
            <w:rStyle w:val="Hyperlink"/>
          </w:rPr>
          <w:t xml:space="preserve">2025</w:t>
        </w:r>
      </w:hyperlink>
      <w:r>
        <w:t xml:space="preserve">)</w:t>
      </w:r>
      <w:r>
        <w:t xml:space="preserve">’s (2025) ideal AI user types, (b) AI Genie, and (c)</w:t>
      </w:r>
      <w:r>
        <w:t xml:space="preserve"> </w:t>
      </w:r>
      <w:r>
        <w:t xml:space="preserve">industrial-organizational psychology subject-matter experts. We evaluate</w:t>
      </w:r>
      <w:r>
        <w:t xml:space="preserve"> </w:t>
      </w:r>
      <w:r>
        <w:t xml:space="preserve">the internal consistency and underlying factor structure of each item</w:t>
      </w:r>
      <w:r>
        <w:t xml:space="preserve"> </w:t>
      </w:r>
      <w:r>
        <w:t xml:space="preserve">set. In doing so, this study has two primary objectives: first, to</w:t>
      </w:r>
      <w:r>
        <w:t xml:space="preserve"> </w:t>
      </w:r>
      <w:r>
        <w:t xml:space="preserve">provide evidence regarding whether qualitatively derived forms of</w:t>
      </w:r>
      <w:r>
        <w:t xml:space="preserve"> </w:t>
      </w:r>
      <w:r>
        <w:t xml:space="preserve">human–AI interaction can be operationalized as quantitative constructs,</w:t>
      </w:r>
      <w:r>
        <w:t xml:space="preserve"> </w:t>
      </w:r>
      <w:r>
        <w:t xml:space="preserve">and second, to examine whether different approaches to item generation</w:t>
      </w:r>
      <w:r>
        <w:t xml:space="preserve"> </w:t>
      </w:r>
      <w:r>
        <w:t xml:space="preserve">yield comparable representations of those constructs. More broadly,</w:t>
      </w:r>
      <w:r>
        <w:t xml:space="preserve"> </w:t>
      </w:r>
      <w:r>
        <w:t xml:space="preserve">establishing how employees differ in their use of AI represents an</w:t>
      </w:r>
      <w:r>
        <w:t xml:space="preserve"> </w:t>
      </w:r>
      <w:r>
        <w:t xml:space="preserve">important step toward understanding how AI may reshape established</w:t>
      </w:r>
      <w:r>
        <w:t xml:space="preserve"> </w:t>
      </w:r>
      <w:r>
        <w:t xml:space="preserve">features of job design and the psychological experience of work.</w:t>
      </w:r>
    </w:p>
    <w:p>
      <w:pPr>
        <w:pStyle w:val="BlockText"/>
      </w:pPr>
      <w:r>
        <w:rPr>
          <w:i/>
          <w:iCs/>
        </w:rPr>
        <w:t xml:space="preserve">Research Question</w:t>
      </w:r>
      <w:r>
        <w:t xml:space="preserve">: Does one instrument development procedure emerge as better?</w:t>
      </w:r>
    </w:p>
    <w:bookmarkEnd w:id="22"/>
    <w:bookmarkStart w:id="28" w:name="method"/>
    <w:p>
      <w:pPr>
        <w:pStyle w:val="Heading1"/>
      </w:pPr>
      <w:r>
        <w:t xml:space="preserve">Method</w:t>
      </w:r>
    </w:p>
    <w:bookmarkStart w:id="26" w:name="materials"/>
    <w:p>
      <w:pPr>
        <w:pStyle w:val="Heading2"/>
      </w:pPr>
      <w:r>
        <w:t xml:space="preserve">Materials</w:t>
      </w:r>
    </w:p>
    <w:p>
      <w:pPr>
        <w:pStyle w:val="FirstParagraph"/>
      </w:pPr>
      <w:r>
        <w:t xml:space="preserve">Items were generated based on the three themes uncovered by</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in their qualitative study on the way employees perceive meaningful work in tasks co-generated by Microsoft 365 Copilot specifically. They identified three ideal types, including an Efficiency-Seeking Type (perceives the AI tool as a straightforward task-assistance tool), a Pragmatic Integrator Type (perceives AI tool as a smarter assistant), and a Collaborative Optimiser Type (perceives AI tool an expert-like teammate). Three different methods of item generation were used (and compared) here.</w:t>
      </w:r>
    </w:p>
    <w:bookmarkStart w:id="23" w:name="expertgenerated-items."/>
    <w:p>
      <w:pPr>
        <w:pStyle w:val="Heading3"/>
      </w:pPr>
      <w:r>
        <w:t xml:space="preserve">Expert–Generated Items.</w:t>
      </w:r>
    </w:p>
    <w:p>
      <w:pPr>
        <w:pStyle w:val="FirstParagraph"/>
      </w:pPr>
      <w:r>
        <w:t xml:space="preserve">Three of the researchers independently generated 6-8 items per dimension. Combined lists of items were discussed by dimension, and the initial list of 57 candidate items was reduced to</w:t>
      </w:r>
      <w:r>
        <w:t xml:space="preserve"> </w:t>
      </w:r>
      <w:r>
        <w:rPr>
          <w:i/>
          <w:iCs/>
        </w:rPr>
        <w:t xml:space="preserve">k</w:t>
      </w:r>
      <w:r>
        <w:t xml:space="preserve">=18 through consensus evaluation of item clarity and content domain coverage.</w:t>
      </w:r>
    </w:p>
    <w:bookmarkEnd w:id="23"/>
    <w:bookmarkStart w:id="24" w:name="chatgpt-generated-items."/>
    <w:p>
      <w:pPr>
        <w:pStyle w:val="Heading3"/>
      </w:pPr>
      <w:r>
        <w:t xml:space="preserve">ChatGPT-Generated Items.</w:t>
      </w:r>
    </w:p>
    <w:p>
      <w:pPr>
        <w:pStyle w:val="FirstParagraph"/>
      </w:pPr>
      <w:r>
        <w:t xml:space="preserve">The following prompt was input into ChatGPT version: “I need your help with generating a tentative list of survey items. I am reading the attached paper for the third time. I am interested in the three AI user ideal types and the survey items that could be generated to measure an employee’s propensity toward one type or another.” Eight items were generated per dimension, along with rationale for those item choices (total</w:t>
      </w:r>
      <w:r>
        <w:t xml:space="preserve"> </w:t>
      </w:r>
      <w:r>
        <w:rPr>
          <w:i/>
          <w:iCs/>
        </w:rPr>
        <w:t xml:space="preserve">k</w:t>
      </w:r>
      <w:r>
        <w:t xml:space="preserve">=24). See Appendix B for the full ChatGPT prompt and output, and Appendix C for a full list of items.</w:t>
      </w:r>
    </w:p>
    <w:bookmarkEnd w:id="24"/>
    <w:bookmarkStart w:id="25" w:name="ai-genie-generated-items."/>
    <w:p>
      <w:pPr>
        <w:pStyle w:val="Heading3"/>
      </w:pPr>
      <w:r>
        <w:t xml:space="preserve">AI-GENIE-Generated Items.</w:t>
      </w:r>
    </w:p>
    <w:p>
      <w:pPr>
        <w:pStyle w:val="FirstParagraph"/>
      </w:pPr>
      <w:r>
        <w:t xml:space="preserve">AI-GENIE is a tool for automated item development and validation using large language models and network psychometrics</w:t>
      </w:r>
      <w:r>
        <w:t xml:space="preserve"> </w:t>
      </w:r>
      <w:r>
        <w:t xml:space="preserve">(</w:t>
      </w:r>
      <w:hyperlink w:anchor="ref-russell2026generative">
        <w:r>
          <w:rPr>
            <w:rStyle w:val="Hyperlink"/>
          </w:rPr>
          <w:t xml:space="preserve">Russell-Lasalandra et al., 2026</w:t>
        </w:r>
      </w:hyperlink>
      <w:r>
        <w:t xml:space="preserve">)</w:t>
      </w:r>
      <w:r>
        <w:t xml:space="preserve">. The following initial prompt was input,</w:t>
      </w:r>
      <w:r>
        <w:t xml:space="preserve"> </w:t>
      </w:r>
      <w:r>
        <w:t xml:space="preserve">“You are an expert scale developer and methodologist who writes high quality and succinct (although with a use a 7th grade reading level) items based on the overarching definition of AI Adopter Type as articulated in</w:t>
      </w:r>
      <w:r>
        <w:t xml:space="preserve"> </w:t>
      </w:r>
      <w:r>
        <w:t xml:space="preserve">Callari and Puppione (</w:t>
      </w:r>
      <w:hyperlink w:anchor="ref-callari2025meaningful">
        <w:r>
          <w:rPr>
            <w:rStyle w:val="Hyperlink"/>
          </w:rPr>
          <w:t xml:space="preserve">2025</w:t>
        </w:r>
      </w:hyperlink>
      <w:r>
        <w:t xml:space="preserve">)</w:t>
      </w:r>
      <w:r>
        <w:t xml:space="preserve">: “Three Ideal Types were identified: Ideal Type (1) – the Efficiency-Seeking Type – perceives AI as a straightforward task-assistance tool, Ideal Type (2) – the Pragmatic Integrator Type – views AI as a smarter assistant, and Ideal Type (3) – the Collaborative Optimiser Type – considers AI an expert-like teammate.”</w:t>
      </w:r>
      <w:r>
        <w:t xml:space="preserve"> </w:t>
      </w:r>
      <w:r>
        <w:t xml:space="preserve">Definitions of all three of the above dimensions, as well as example descriptors are provided as part of the prompt. Thirty items were initially generated. Combined lists of items were discussed by the researchers by dimension, and the most unique and clearly-written items were retained for the survey (total</w:t>
      </w:r>
      <w:r>
        <w:t xml:space="preserve"> </w:t>
      </w:r>
      <w:r>
        <w:rPr>
          <w:i/>
          <w:iCs/>
        </w:rPr>
        <w:t xml:space="preserve">k</w:t>
      </w:r>
      <w:r>
        <w:t xml:space="preserve">=21). See the Appendix for all study items.</w:t>
      </w:r>
    </w:p>
    <w:bookmarkEnd w:id="25"/>
    <w:bookmarkEnd w:id="26"/>
    <w:bookmarkStart w:id="27" w:name="procedure"/>
    <w:p>
      <w:pPr>
        <w:pStyle w:val="Heading2"/>
      </w:pPr>
      <w:r>
        <w:t xml:space="preserve">Procedure</w:t>
      </w:r>
    </w:p>
    <w:p>
      <w:pPr>
        <w:pStyle w:val="FirstParagraph"/>
      </w:pPr>
      <w:r>
        <w:t xml:space="preserve">After consent, students were asked to think of the context where they use AI the most frequently (for example, as a student or as an employee) and to keep that role in mind for the entire survey. Respondents were shown items within generative grouping, followed by a few demographic questions. They responded to all AI–Adopter items on a 5-point Likert-type scale ranging from 1 (strongly agree) to 5 (strongly disagree). Following the survey, respondents were debriefed and offered course credit for their time.</w:t>
      </w:r>
    </w:p>
    <w:bookmarkEnd w:id="27"/>
    <w:bookmarkEnd w:id="28"/>
    <w:bookmarkStart w:id="32" w:name="results"/>
    <w:p>
      <w:pPr>
        <w:pStyle w:val="Heading1"/>
      </w:pPr>
      <w:r>
        <w:t xml:space="preserve">Results</w:t>
      </w:r>
    </w:p>
    <w:p>
      <w:pPr>
        <w:pStyle w:val="SourceCode"/>
      </w:pPr>
      <w:r>
        <w:rPr>
          <w:rStyle w:val="VerbatimChar"/>
        </w:rPr>
        <w:t xml:space="preserve">Some items ( chat_ES_5 ) were negatively correlated with the first principal component and </w:t>
      </w:r>
      <w:r>
        <w:br/>
      </w:r>
      <w:r>
        <w:rPr>
          <w:rStyle w:val="VerbatimChar"/>
        </w:rPr>
        <w:t xml:space="preserve">probably should be reversed.  </w:t>
      </w:r>
      <w:r>
        <w:br/>
      </w:r>
      <w:r>
        <w:rPr>
          <w:rStyle w:val="VerbatimChar"/>
        </w:rPr>
        <w:t xml:space="preserve">To do this, run the function again with the 'check.keys=TRUE' option</w:t>
      </w:r>
    </w:p>
    <w:p>
      <w:pPr>
        <w:pStyle w:val="FirstParagraph"/>
      </w:pPr>
      <w:r>
        <w:t xml:space="preserve">124 undergraduate students responded (mean age = 21.58, sd = 5.61). The students were given the choice of 50 different majors to choose from, with the greatest representation being Psychology at 38.71% (see</w:t>
      </w:r>
      <w:r>
        <w:t xml:space="preserve"> </w:t>
      </w:r>
      <w:hyperlink w:anchor="tbl-majors">
        <w:r>
          <w:rPr>
            <w:rStyle w:val="Hyperlink"/>
          </w:rPr>
          <w:t xml:space="preserve">Table 2</w:t>
        </w:r>
      </w:hyperlink>
      <w:r>
        <w:t xml:space="preserve">). When asked,</w:t>
      </w:r>
      <w:r>
        <w:t xml:space="preserve"> </w:t>
      </w:r>
      <w:r>
        <w:t xml:space="preserve">“Which context did you have in mind as you responded to the statements in this survey?”</w:t>
      </w:r>
      <w:r>
        <w:t xml:space="preserve">, 79.03% indicated</w:t>
      </w:r>
      <w:r>
        <w:t xml:space="preserve"> </w:t>
      </w:r>
      <w:r>
        <w:t xml:space="preserve">“school”</w:t>
      </w:r>
      <w:r>
        <w:t xml:space="preserve">, 12.9% indicated</w:t>
      </w:r>
      <w:r>
        <w:t xml:space="preserve"> </w:t>
      </w:r>
      <w:r>
        <w:t xml:space="preserve">“work”</w:t>
      </w:r>
      <w:r>
        <w:t xml:space="preserve">, and 7.26% stated</w:t>
      </w:r>
      <w:r>
        <w:t xml:space="preserve"> </w:t>
      </w:r>
      <w:r>
        <w:t xml:space="preserve">“other”</w:t>
      </w:r>
      <w:r>
        <w:t xml:space="preserve">.</w:t>
      </w:r>
    </w:p>
    <w:bookmarkStart w:id="30" w:name="traditional-investigation"/>
    <w:p>
      <w:pPr>
        <w:pStyle w:val="Heading2"/>
      </w:pPr>
      <w:r>
        <w:t xml:space="preserve">Traditional Investigation</w:t>
      </w:r>
    </w:p>
    <w:p>
      <w:pPr>
        <w:pStyle w:val="FirstParagraph"/>
      </w:pPr>
      <w:r>
        <w:t xml:space="preserve">Inter–scale correlations as well as scale means and standard deviations are presented in</w:t>
      </w:r>
      <w:r>
        <w:t xml:space="preserve"> </w:t>
      </w:r>
      <w:hyperlink w:anchor="tbl-corrs">
        <w:r>
          <w:rPr>
            <w:rStyle w:val="Hyperlink"/>
          </w:rPr>
          <w:t xml:space="preserve">Table 3</w:t>
        </w:r>
      </w:hyperlink>
      <w:r>
        <w:t xml:space="preserve"> </w:t>
      </w:r>
      <w:r>
        <w:t xml:space="preserve">(note that the sequence of scale orderings is informed by</w:t>
      </w:r>
      <w:r>
        <w:t xml:space="preserve"> </w:t>
      </w:r>
      <w:r>
        <w:t xml:space="preserve">Campbell and Fiske (</w:t>
      </w:r>
      <w:hyperlink w:anchor="ref-campbell1959convergent">
        <w:r>
          <w:rPr>
            <w:rStyle w:val="Hyperlink"/>
          </w:rPr>
          <w:t xml:space="preserve">1959</w:t>
        </w:r>
      </w:hyperlink>
      <w:r>
        <w:t xml:space="preserve">)</w:t>
      </w:r>
      <w:r>
        <w:t xml:space="preserve">). Here, the Efficiency Seeking scales exhibit the least intra–dimension agreement (correlations across development methodologies ranging from</w:t>
      </w:r>
      <w:r>
        <w:t xml:space="preserve"> </w:t>
      </w:r>
      <m:oMath>
        <m:sSub>
          <m:e>
            <m:r>
              <m:t>r</m:t>
            </m:r>
          </m:e>
          <m:sub>
            <m:r>
              <m:t>G</m:t>
            </m:r>
            <m:r>
              <m:t>P</m:t>
            </m:r>
            <m:r>
              <m:t>T</m:t>
            </m:r>
            <m:r>
              <m:rPr>
                <m:sty m:val="p"/>
              </m:rPr>
              <m:t>−</m:t>
            </m:r>
            <m:r>
              <m:t>S</m:t>
            </m:r>
            <m:r>
              <m:t>M</m:t>
            </m:r>
            <m:r>
              <m:t>E</m:t>
            </m:r>
          </m:sub>
        </m:sSub>
      </m:oMath>
      <w:r>
        <w:t xml:space="preserve"> </w:t>
      </w:r>
      <w:r>
        <w:t xml:space="preserve">= .14, ns to</w:t>
      </w:r>
      <w:r>
        <w:t xml:space="preserve"> </w:t>
      </w:r>
      <m:oMath>
        <m:sSub>
          <m:e>
            <m:r>
              <m:t>r</m:t>
            </m:r>
          </m:e>
          <m:sub>
            <m:r>
              <m:t>G</m:t>
            </m:r>
            <m:r>
              <m:t>P</m:t>
            </m:r>
            <m:r>
              <m:t>T</m:t>
            </m:r>
            <m:r>
              <m:rPr>
                <m:sty m:val="p"/>
              </m:rPr>
              <m:t>−</m:t>
            </m:r>
            <m:r>
              <m:t>G</m:t>
            </m:r>
            <m:r>
              <m:t>e</m:t>
            </m:r>
            <m:r>
              <m:t>n</m:t>
            </m:r>
            <m:r>
              <m:t>i</m:t>
            </m:r>
            <m:r>
              <m:t>e</m:t>
            </m:r>
          </m:sub>
        </m:sSub>
      </m:oMath>
      <w:r>
        <w:t xml:space="preserve"> </w:t>
      </w:r>
      <w:r>
        <w:t xml:space="preserve">= .51,</w:t>
      </w:r>
      <w:r>
        <w:t xml:space="preserve"> </w:t>
      </w:r>
      <w:r>
        <w:rPr>
          <w:i/>
          <w:iCs/>
        </w:rPr>
        <w:t xml:space="preserve">p</w:t>
      </w:r>
      <w:r>
        <w:t xml:space="preserve"> </w:t>
      </w:r>
      <w:r>
        <w:t xml:space="preserve">&lt; .001). Pragmatic Integrator and Collaborative Optimiser scales exhibited consistently higher associations (ranging from a low of</w:t>
      </w:r>
      <w:r>
        <w:t xml:space="preserve"> </w:t>
      </w:r>
      <m:oMath>
        <m:sSub>
          <m:e>
            <m:r>
              <m:t>r</m:t>
            </m:r>
          </m:e>
          <m:sub>
            <m:r>
              <m:t>G</m:t>
            </m:r>
            <m:r>
              <m:t>e</m:t>
            </m:r>
            <m:r>
              <m:t>n</m:t>
            </m:r>
            <m:r>
              <m:t>i</m:t>
            </m:r>
            <m:r>
              <m:t>e</m:t>
            </m:r>
            <m:r>
              <m:rPr>
                <m:sty m:val="p"/>
              </m:rPr>
              <m:t>(</m:t>
            </m:r>
            <m:r>
              <m:t>C</m:t>
            </m:r>
            <m:r>
              <m:t>O</m:t>
            </m:r>
            <m:r>
              <m:rPr>
                <m:sty m:val="p"/>
              </m:rPr>
              <m:t>)</m:t>
            </m:r>
            <m:r>
              <m:rPr>
                <m:sty m:val="p"/>
              </m:rPr>
              <m:t>−</m:t>
            </m:r>
            <m:r>
              <m:t>S</m:t>
            </m:r>
            <m:r>
              <m:t>M</m:t>
            </m:r>
            <m:r>
              <m:t>E</m:t>
            </m:r>
            <m:r>
              <m:rPr>
                <m:sty m:val="p"/>
              </m:rPr>
              <m:t>(</m:t>
            </m:r>
            <m:r>
              <m:t>C</m:t>
            </m:r>
            <m:r>
              <m:t>O</m:t>
            </m:r>
            <m:r>
              <m:rPr>
                <m:sty m:val="p"/>
              </m:rPr>
              <m:t>)</m:t>
            </m:r>
          </m:sub>
        </m:sSub>
      </m:oMath>
      <w:r>
        <w:t xml:space="preserve"> </w:t>
      </w:r>
      <w:r>
        <w:t xml:space="preserve">= .76,</w:t>
      </w:r>
      <w:r>
        <w:t xml:space="preserve"> </w:t>
      </w:r>
      <w:r>
        <w:rPr>
          <w:i/>
          <w:iCs/>
        </w:rPr>
        <w:t xml:space="preserve">p</w:t>
      </w:r>
      <w:r>
        <w:t xml:space="preserve"> </w:t>
      </w:r>
      <w:r>
        <w:t xml:space="preserve">&lt; .001 to a high of</w:t>
      </w:r>
      <w:r>
        <w:t xml:space="preserve"> </w:t>
      </w:r>
      <m:oMath>
        <m:sSub>
          <m:e>
            <m:r>
              <m:t>r</m:t>
            </m:r>
          </m:e>
          <m:sub>
            <m:r>
              <m:t>G</m:t>
            </m:r>
            <m:r>
              <m:t>e</m:t>
            </m:r>
            <m:r>
              <m:t>n</m:t>
            </m:r>
            <m:r>
              <m:t>i</m:t>
            </m:r>
            <m:r>
              <m:t>e</m:t>
            </m:r>
            <m:r>
              <m:rPr>
                <m:sty m:val="p"/>
              </m:rPr>
              <m:t>(</m:t>
            </m:r>
            <m:r>
              <m:t>P</m:t>
            </m:r>
            <m:r>
              <m:t>I</m:t>
            </m:r>
            <m:r>
              <m:rPr>
                <m:sty m:val="p"/>
              </m:rPr>
              <m:t>)</m:t>
            </m:r>
            <m:r>
              <m:rPr>
                <m:sty m:val="p"/>
              </m:rPr>
              <m:t>−</m:t>
            </m:r>
            <m:r>
              <m:t>S</m:t>
            </m:r>
            <m:r>
              <m:t>M</m:t>
            </m:r>
            <m:r>
              <m:t>E</m:t>
            </m:r>
            <m:r>
              <m:rPr>
                <m:sty m:val="p"/>
              </m:rPr>
              <m:t>(</m:t>
            </m:r>
            <m:r>
              <m:t>P</m:t>
            </m:r>
            <m:r>
              <m:t>I</m:t>
            </m:r>
            <m:r>
              <m:rPr>
                <m:sty m:val="p"/>
              </m:rPr>
              <m:t>)</m:t>
            </m:r>
          </m:sub>
        </m:sSub>
      </m:oMath>
      <w:r>
        <w:t xml:space="preserve"> </w:t>
      </w:r>
      <w:r>
        <w:t xml:space="preserve">= .84,</w:t>
      </w:r>
      <w:r>
        <w:t xml:space="preserve"> </w:t>
      </w:r>
      <w:r>
        <w:rPr>
          <w:i/>
          <w:iCs/>
        </w:rPr>
        <w:t xml:space="preserve">p</w:t>
      </w:r>
      <w:r>
        <w:t xml:space="preserve"> </w:t>
      </w:r>
      <w:r>
        <w:t xml:space="preserve">&lt; .001). Discrimination across scale dimensions was highest for the Efficiency Seeking scales, particularly so for the Chat–GPT developed scale (and to a lesser degree, the SME–derived scale).</w:t>
      </w:r>
    </w:p>
    <w:p>
      <w:pPr>
        <w:pStyle w:val="BodyText"/>
      </w:pPr>
      <w:r>
        <w:t xml:space="preserve">Individual scale alphas were predominantly within the .8 to .9 range, although two scales exhibited suppressed values (the Chat–GPT Efficiency Seeking scale</w:t>
      </w:r>
      <w:r>
        <w:t xml:space="preserve"> </w:t>
      </w:r>
      <m:oMath>
        <m:r>
          <m:t>α</m:t>
        </m:r>
      </m:oMath>
      <w:r>
        <w:t xml:space="preserve"> </w:t>
      </w:r>
      <w:r>
        <w:t xml:space="preserve">= .69 the SME Efficiency Seeking scale</w:t>
      </w:r>
      <w:r>
        <w:t xml:space="preserve"> </w:t>
      </w:r>
      <m:oMath>
        <m:r>
          <m:t>α</m:t>
        </m:r>
      </m:oMath>
      <w:r>
        <w:t xml:space="preserve"> </w:t>
      </w:r>
      <w:r>
        <w:t xml:space="preserve">= .59). Note that: 1) these are the two scales that also exhibited the lowest average inter–scale associations (see</w:t>
      </w:r>
      <w:r>
        <w:t xml:space="preserve"> </w:t>
      </w:r>
      <w:hyperlink w:anchor="tbl-corrs">
        <w:r>
          <w:rPr>
            <w:rStyle w:val="Hyperlink"/>
          </w:rPr>
          <w:t xml:space="preserve">Table 3</w:t>
        </w:r>
      </w:hyperlink>
      <w:r>
        <w:t xml:space="preserve">), and 2) the numbers of items differed across scales (</w:t>
      </w:r>
      <w:r>
        <w:rPr>
          <w:i/>
          <w:iCs/>
        </w:rPr>
        <w:t xml:space="preserve">k</w:t>
      </w:r>
      <w:r>
        <w:t xml:space="preserve">’s = 6, 7, and 8). All</w:t>
      </w:r>
      <w:r>
        <w:t xml:space="preserve"> </w:t>
      </w:r>
      <m:oMath>
        <m:r>
          <m:t>α</m:t>
        </m:r>
      </m:oMath>
      <w:r>
        <w:t xml:space="preserve">’s are presented in</w:t>
      </w:r>
      <w:r>
        <w:t xml:space="preserve"> </w:t>
      </w:r>
      <w:hyperlink w:anchor="tbl-alphas">
        <w:r>
          <w:rPr>
            <w:rStyle w:val="Hyperlink"/>
          </w:rPr>
          <w:t xml:space="preserve">Table 1</w:t>
        </w:r>
      </w:hyperlink>
    </w:p>
    <w:p>
      <w:pPr>
        <w:pStyle w:val="BodyText"/>
      </w:pPr>
      <w:r>
        <w:t xml:space="preserve">Exploratory factor analyses (EFAs) were also conducted separately for each of the three item sets. One–, two–, and three–factor solutions were estimated for each item set using maximum likelihood estimation and an oblique Quartimin rotation. Following</w:t>
      </w:r>
      <w:r>
        <w:t xml:space="preserve"> </w:t>
      </w:r>
      <w:r>
        <w:t xml:space="preserve">Hu and Bentler (</w:t>
      </w:r>
      <w:hyperlink w:anchor="ref-hu1999cutoff">
        <w:r>
          <w:rPr>
            <w:rStyle w:val="Hyperlink"/>
          </w:rPr>
          <w:t xml:space="preserve">1999</w:t>
        </w:r>
      </w:hyperlink>
      <w:r>
        <w:t xml:space="preserve">)</w:t>
      </w:r>
      <w:r>
        <w:t xml:space="preserve">’s guidelines, model fit was evaluated using multiple indicators.</w:t>
      </w:r>
    </w:p>
    <w:p>
      <w:pPr>
        <w:pStyle w:val="BodyText"/>
      </w:pPr>
      <w:r>
        <w:t xml:space="preserve">Parallel analysis suggested different levels of dimensionality across the item sets, with a one-factor solution for the AI Genie and SME item sets and a two-factor solution for the ChatGPT item set. Because the item pools were constructed to represent three conceptual domains, the three-factor solutions are discussed here to evaluate the pattern of item loadings and correspondence between the intended and emergent factor structures.</w:t>
      </w:r>
    </w:p>
    <w:p>
      <w:pPr>
        <w:pStyle w:val="BodyText"/>
      </w:pPr>
      <w:r>
        <w:t xml:space="preserve">The three-factor solution for the AI Genie-generated items demonstrated substantially better fit compared to the one- and two-factor models, χ²(150) = 207.64, p = .001, RMSEA = .064, 90% CI [.041, .084], CFI = .960, TLI = .944, and SRMR = .036. Item loading patterns provided partial evidence of a three-factor structure, albeit with several non–hypothesized associations and substantive cross–loadings (see</w:t>
      </w:r>
      <w:r>
        <w:t xml:space="preserve"> </w:t>
      </w:r>
      <w:hyperlink w:anchor="fig-net-genie">
        <w:r>
          <w:rPr>
            <w:rStyle w:val="Hyperlink"/>
          </w:rPr>
          <w:t xml:space="preserve">Figure 3</w:t>
        </w:r>
      </w:hyperlink>
      <w:r>
        <w:t xml:space="preserve"> </w:t>
      </w:r>
      <w:r>
        <w:t xml:space="preserve">for a visual representation)</w:t>
      </w:r>
      <w:r>
        <w:rPr>
          <w:rStyle w:val="FootnoteReference"/>
        </w:rPr>
        <w:footnoteReference w:id="29"/>
      </w:r>
      <w:r>
        <w:t xml:space="preserve">. Factors 1 and 2 exhibited a significant correlation (r = .762, p &lt; .05), whereas the correlations of Factor 3 with Factors 1 (r = .295) and 2 (r = .289) did not approach statistical significance. Overall, the three-factor model demonstrated relatively good fit, the loading pattern suggests two somewhat clear factors with item cross loadings and an ambiguous third factor.</w:t>
      </w:r>
    </w:p>
    <w:p>
      <w:pPr>
        <w:pStyle w:val="BodyText"/>
      </w:pPr>
      <w:r>
        <w:t xml:space="preserve">The three-factor solution for the SME-generated items demonstrated the</w:t>
      </w:r>
      <w:r>
        <w:t xml:space="preserve"> </w:t>
      </w:r>
      <w:r>
        <w:t xml:space="preserve">strongest overall model fit of the three item-generation approaches,</w:t>
      </w:r>
      <w:r>
        <w:t xml:space="preserve"> </w:t>
      </w:r>
      <w:r>
        <w:t xml:space="preserve">χ²(150) = 183.17, p = .034, RMSEA = .048, 90% CI [.015, .071], CFI =</w:t>
      </w:r>
      <w:r>
        <w:t xml:space="preserve"> </w:t>
      </w:r>
      <w:r>
        <w:t xml:space="preserve">.962, TLI = .947, and SRMR = .050. All three factors were significantly correlated at the 5% level threshold (p &lt; .05) . Factor 1 correlated .441 with Factor 2 and .635 with Factor 3, while Factors 2 and 3 correlated .458. Overall, the three-factor model provided strong fit, although the like the AI_Genie items, loadings did not create three distinct item groupings (see</w:t>
      </w:r>
      <w:r>
        <w:t xml:space="preserve"> </w:t>
      </w:r>
      <w:hyperlink w:anchor="fig-net-sme">
        <w:r>
          <w:rPr>
            <w:rStyle w:val="Hyperlink"/>
          </w:rPr>
          <w:t xml:space="preserve">Figure 2</w:t>
        </w:r>
      </w:hyperlink>
      <w:r>
        <w:t xml:space="preserve">).</w:t>
      </w:r>
    </w:p>
    <w:p>
      <w:pPr>
        <w:pStyle w:val="BodyText"/>
      </w:pPr>
      <w:r>
        <w:t xml:space="preserve">The three-factor model for the ChatGPT-Generated items returned the weakest structural evidence (χ²(207) = 347.09, p &lt; .001, RMSEA = .084, 90% CI [.068, .099], CFI = .879, TLI = .838, and SRMR = .053). Factors 1 and 2 were significantly correlated (r = .477, p &lt; .05), while Factor 3 was did not have a significant correlation with Factor 1 (r = -.029) or Factor 2 (r = -.146). Visual representation of loadings is presented in</w:t>
      </w:r>
      <w:r>
        <w:t xml:space="preserve"> </w:t>
      </w:r>
      <w:hyperlink w:anchor="fig-net-gpt">
        <w:r>
          <w:rPr>
            <w:rStyle w:val="Hyperlink"/>
          </w:rPr>
          <w:t xml:space="preserve">Figure 1</w:t>
        </w:r>
      </w:hyperlink>
      <w:r>
        <w:t xml:space="preserve">.</w:t>
      </w:r>
    </w:p>
    <w:p>
      <w:pPr>
        <w:pStyle w:val="BodyText"/>
      </w:pPr>
      <w:r>
        <w:t xml:space="preserve">Taken together, these results suggest that the ChatGPT-generated items exhibited meaningful multidimensionality, but the observed structure did not cleanly produce loadings indicating three distinct factors. Additionally, the</w:t>
      </w:r>
      <w:r>
        <w:t xml:space="preserve"> </w:t>
      </w:r>
      <w:r>
        <w:t xml:space="preserve">ChatGPT-generated items demonstrated worse model fit than the corresponding SME and AI Genie item sets.</w:t>
      </w:r>
    </w:p>
    <w:bookmarkEnd w:id="30"/>
    <w:bookmarkStart w:id="31" w:name="semantic-investigation"/>
    <w:p>
      <w:pPr>
        <w:pStyle w:val="Heading2"/>
      </w:pPr>
      <w:r>
        <w:t xml:space="preserve">Semantic Investigation</w:t>
      </w:r>
    </w:p>
    <w:p>
      <w:pPr>
        <w:pStyle w:val="FirstParagraph"/>
      </w:pPr>
      <w:r>
        <w:t xml:space="preserve">Exploratory Graph Analyses do not specify factors in advance. Instead they estimates a network directly among the items, and the results of these are presented in</w:t>
      </w:r>
      <w:r>
        <w:t xml:space="preserve"> </w:t>
      </w:r>
      <w:hyperlink w:anchor="fig-ega-gpt">
        <w:r>
          <w:rPr>
            <w:rStyle w:val="Hyperlink"/>
          </w:rPr>
          <w:t xml:space="preserve">Figure 4</w:t>
        </w:r>
      </w:hyperlink>
      <w:r>
        <w:t xml:space="preserve">,</w:t>
      </w:r>
      <w:r>
        <w:t xml:space="preserve"> </w:t>
      </w:r>
      <w:hyperlink w:anchor="fig-ega-sme">
        <w:r>
          <w:rPr>
            <w:rStyle w:val="Hyperlink"/>
          </w:rPr>
          <w:t xml:space="preserve">Figure 5</w:t>
        </w:r>
      </w:hyperlink>
      <w:r>
        <w:t xml:space="preserve">, and</w:t>
      </w:r>
      <w:r>
        <w:t xml:space="preserve"> </w:t>
      </w:r>
      <w:hyperlink w:anchor="fig-ega-genie">
        <w:r>
          <w:rPr>
            <w:rStyle w:val="Hyperlink"/>
          </w:rPr>
          <w:t xml:space="preserve">Figure 6</w:t>
        </w:r>
      </w:hyperlink>
      <w:r>
        <w:t xml:space="preserve">. Each line is a regularized partial correlation (EBICglasso), meaning the relationship between two items after controlling for all the other items. Thicker lines are stronger associations, and the line colour shows whether the association is positive or negative. Weak relationships are shrunk to zero and dropped. The Walktrap algorithm then detects communities: groups of items that are more tightly connected to each other than to the rest of the network. Unlike in the EFA plots, the node colours here mark these empirically detected communities, not the intended subscales. The number of communities is the EGA estimate of the dimensionality of each item set.</w:t>
      </w:r>
    </w:p>
    <w:bookmarkEnd w:id="31"/>
    <w:bookmarkEnd w:id="32"/>
    <w:bookmarkStart w:id="34" w:name="discussion"/>
    <w:p>
      <w:pPr>
        <w:pStyle w:val="Heading1"/>
      </w:pPr>
      <w:r>
        <w:t xml:space="preserve">Discussion</w:t>
      </w:r>
    </w:p>
    <w:p>
      <w:pPr>
        <w:pStyle w:val="Compact"/>
        <w:numPr>
          <w:ilvl w:val="0"/>
          <w:numId w:val="1001"/>
        </w:numPr>
      </w:pPr>
      <w:r>
        <w:t xml:space="preserve">methodological contribution – EGAs plus EFAs, empirical vs semantic</w:t>
      </w:r>
    </w:p>
    <w:p>
      <w:pPr>
        <w:pStyle w:val="Compact"/>
        <w:numPr>
          <w:ilvl w:val="0"/>
          <w:numId w:val="1002"/>
        </w:numPr>
      </w:pPr>
      <w:r>
        <w:t xml:space="preserve">cross–loading clearing up</w:t>
      </w:r>
    </w:p>
    <w:p>
      <w:pPr>
        <w:pStyle w:val="Compact"/>
        <w:numPr>
          <w:ilvl w:val="0"/>
          <w:numId w:val="1003"/>
        </w:numPr>
      </w:pPr>
      <w:r>
        <w:t xml:space="preserve">theoretical contribution (AI adopter type)</w:t>
      </w:r>
    </w:p>
    <w:p>
      <w:pPr>
        <w:pStyle w:val="Compact"/>
        <w:numPr>
          <w:ilvl w:val="0"/>
          <w:numId w:val="1004"/>
        </w:numPr>
      </w:pPr>
      <w:r>
        <w:t xml:space="preserve">distinct types vs different gradients of expertise (degree of AI collaboration)</w:t>
      </w:r>
    </w:p>
    <w:bookmarkStart w:id="33" w:name="limitations"/>
    <w:p>
      <w:pPr>
        <w:pStyle w:val="Heading2"/>
      </w:pPr>
      <w:r>
        <w:t xml:space="preserve">Limitations</w:t>
      </w:r>
    </w:p>
    <w:p>
      <w:pPr>
        <w:pStyle w:val="FirstParagraph"/>
      </w:pPr>
      <w:r>
        <w:t xml:space="preserve">Sample size as well as well as sample characteristics (degree of AI integration within workplace)</w:t>
      </w:r>
    </w:p>
    <w:bookmarkEnd w:id="33"/>
    <w:bookmarkEnd w:id="34"/>
    <w:bookmarkStart w:id="71" w:name="references"/>
    <w:p>
      <w:pPr>
        <w:pStyle w:val="Heading1"/>
      </w:pPr>
      <w:r>
        <w:t xml:space="preserve">References</w:t>
      </w:r>
    </w:p>
    <w:bookmarkStart w:id="43" w:name="refs"/>
    <w:bookmarkStart w:id="35" w:name="ref-arora2025meaningful"/>
    <w:p>
      <w:pPr>
        <w:pStyle w:val="Bibliography"/>
      </w:pPr>
      <w:r>
        <w:t xml:space="preserve">Arora, N., &amp; Garg, N. (2025). Meaningful work in the digital age-a comprehensive review and framework.</w:t>
      </w:r>
      <w:r>
        <w:t xml:space="preserve"> </w:t>
      </w:r>
      <w:r>
        <w:rPr>
          <w:i/>
          <w:iCs/>
        </w:rPr>
        <w:t xml:space="preserve">Human Resource Development International</w:t>
      </w:r>
      <w:r>
        <w:t xml:space="preserve">,</w:t>
      </w:r>
      <w:r>
        <w:t xml:space="preserve"> </w:t>
      </w:r>
      <w:r>
        <w:rPr>
          <w:i/>
          <w:iCs/>
        </w:rPr>
        <w:t xml:space="preserve">28</w:t>
      </w:r>
      <w:r>
        <w:t xml:space="preserve">(2), 169–193.</w:t>
      </w:r>
    </w:p>
    <w:bookmarkEnd w:id="35"/>
    <w:bookmarkStart w:id="36" w:name="ref-callari2025meaningful"/>
    <w:p>
      <w:pPr>
        <w:pStyle w:val="Bibliography"/>
      </w:pPr>
      <w:r>
        <w:t xml:space="preserve">Callari, T. C., &amp; Puppione, L. (2025). Meaningful work as shaped by employee work practices in human-AI collaborative environments: A qualitative exploration through ideal types.</w:t>
      </w:r>
      <w:r>
        <w:t xml:space="preserve"> </w:t>
      </w:r>
      <w:r>
        <w:rPr>
          <w:i/>
          <w:iCs/>
        </w:rPr>
        <w:t xml:space="preserve">European Journal of Innovation Management</w:t>
      </w:r>
      <w:r>
        <w:t xml:space="preserve">,</w:t>
      </w:r>
      <w:r>
        <w:t xml:space="preserve"> </w:t>
      </w:r>
      <w:r>
        <w:rPr>
          <w:i/>
          <w:iCs/>
        </w:rPr>
        <w:t xml:space="preserve">28</w:t>
      </w:r>
      <w:r>
        <w:t xml:space="preserve">(10), 5001–5027.</w:t>
      </w:r>
    </w:p>
    <w:bookmarkEnd w:id="36"/>
    <w:bookmarkStart w:id="37" w:name="ref-campbell1959convergent"/>
    <w:p>
      <w:pPr>
        <w:pStyle w:val="Bibliography"/>
      </w:pPr>
      <w:r>
        <w:t xml:space="preserve">Campbell, D. T., &amp; Fiske, D. W. (1959). Convergent and discriminant validation by the multitrait-multimethod matrix.</w:t>
      </w:r>
      <w:r>
        <w:t xml:space="preserve"> </w:t>
      </w:r>
      <w:r>
        <w:rPr>
          <w:i/>
          <w:iCs/>
        </w:rPr>
        <w:t xml:space="preserve">Psychological Bulletin</w:t>
      </w:r>
      <w:r>
        <w:t xml:space="preserve">,</w:t>
      </w:r>
      <w:r>
        <w:t xml:space="preserve"> </w:t>
      </w:r>
      <w:r>
        <w:rPr>
          <w:i/>
          <w:iCs/>
        </w:rPr>
        <w:t xml:space="preserve">56</w:t>
      </w:r>
      <w:r>
        <w:t xml:space="preserve">(2), 81.</w:t>
      </w:r>
    </w:p>
    <w:bookmarkEnd w:id="37"/>
    <w:bookmarkStart w:id="38" w:name="ref-hackman1975development"/>
    <w:p>
      <w:pPr>
        <w:pStyle w:val="Bibliography"/>
      </w:pPr>
      <w:r>
        <w:t xml:space="preserve">Hackman, J. R., &amp; Oldham, G. R. (1975). Development of the job diagnostic survey.</w:t>
      </w:r>
      <w:r>
        <w:t xml:space="preserve"> </w:t>
      </w:r>
      <w:r>
        <w:rPr>
          <w:i/>
          <w:iCs/>
        </w:rPr>
        <w:t xml:space="preserve">Journal of Applied Psychology</w:t>
      </w:r>
      <w:r>
        <w:t xml:space="preserve">,</w:t>
      </w:r>
      <w:r>
        <w:t xml:space="preserve"> </w:t>
      </w:r>
      <w:r>
        <w:rPr>
          <w:i/>
          <w:iCs/>
        </w:rPr>
        <w:t xml:space="preserve">60</w:t>
      </w:r>
      <w:r>
        <w:t xml:space="preserve">(2), 159.</w:t>
      </w:r>
    </w:p>
    <w:bookmarkEnd w:id="38"/>
    <w:bookmarkStart w:id="39" w:name="ref-hackman1976motivation"/>
    <w:p>
      <w:pPr>
        <w:pStyle w:val="Bibliography"/>
      </w:pPr>
      <w:r>
        <w:t xml:space="preserve">Hackman, J. R., &amp; Oldham, G. R. (1976). Motivation through the design of work: Test of a theory.</w:t>
      </w:r>
      <w:r>
        <w:t xml:space="preserve"> </w:t>
      </w:r>
      <w:r>
        <w:rPr>
          <w:i/>
          <w:iCs/>
        </w:rPr>
        <w:t xml:space="preserve">Organizational Behavior and Human Performance</w:t>
      </w:r>
      <w:r>
        <w:t xml:space="preserve">,</w:t>
      </w:r>
      <w:r>
        <w:t xml:space="preserve"> </w:t>
      </w:r>
      <w:r>
        <w:rPr>
          <w:i/>
          <w:iCs/>
        </w:rPr>
        <w:t xml:space="preserve">16</w:t>
      </w:r>
      <w:r>
        <w:t xml:space="preserve">(2), 250–279.</w:t>
      </w:r>
    </w:p>
    <w:bookmarkEnd w:id="39"/>
    <w:bookmarkStart w:id="40" w:name="ref-hu1999cutoff"/>
    <w:p>
      <w:pPr>
        <w:pStyle w:val="Bibliography"/>
      </w:pPr>
      <w:r>
        <w:t xml:space="preserve">Hu, L., &amp; Bentler, P. M. (1999). Cutoff criteria for fit indexes in covariance structure analysis: Conventional criteria versus new alternatives.</w:t>
      </w:r>
      <w:r>
        <w:t xml:space="preserve"> </w:t>
      </w:r>
      <w:r>
        <w:rPr>
          <w:i/>
          <w:iCs/>
        </w:rPr>
        <w:t xml:space="preserve">Structural Equation Modeling: A Multidisciplinary Journal</w:t>
      </w:r>
      <w:r>
        <w:t xml:space="preserve">,</w:t>
      </w:r>
      <w:r>
        <w:t xml:space="preserve"> </w:t>
      </w:r>
      <w:r>
        <w:rPr>
          <w:i/>
          <w:iCs/>
        </w:rPr>
        <w:t xml:space="preserve">6</w:t>
      </w:r>
      <w:r>
        <w:t xml:space="preserve">(1), 1–55.</w:t>
      </w:r>
    </w:p>
    <w:bookmarkEnd w:id="40"/>
    <w:bookmarkStart w:id="41" w:name="ref-russell2026generative"/>
    <w:p>
      <w:pPr>
        <w:pStyle w:val="Bibliography"/>
      </w:pPr>
      <w:r>
        <w:t xml:space="preserve">Russell-Lasalandra, L. L., Christensen, A. P., &amp; Golino, H. (2026). Generative psychometrics via AI-GENIE: Automatic item generation and validation with network-integrated evaluation.</w:t>
      </w:r>
      <w:r>
        <w:t xml:space="preserve"> </w:t>
      </w:r>
      <w:r>
        <w:rPr>
          <w:i/>
          <w:iCs/>
        </w:rPr>
        <w:t xml:space="preserve">Behavior Research Methods</w:t>
      </w:r>
      <w:r>
        <w:t xml:space="preserve">,</w:t>
      </w:r>
      <w:r>
        <w:t xml:space="preserve"> </w:t>
      </w:r>
      <w:r>
        <w:rPr>
          <w:i/>
          <w:iCs/>
        </w:rPr>
        <w:t xml:space="preserve">58</w:t>
      </w:r>
      <w:r>
        <w:t xml:space="preserve">(8), 217.</w:t>
      </w:r>
    </w:p>
    <w:bookmarkEnd w:id="41"/>
    <w:bookmarkStart w:id="42" w:name="ref-zhang2026artificial"/>
    <w:p>
      <w:pPr>
        <w:pStyle w:val="Bibliography"/>
      </w:pPr>
      <w:r>
        <w:t xml:space="preserve">Zhang, Y., Lai, Z., Liu, X., &amp; Sun, H. (2026). How artificial intelligence (AI) usage affects employees’ workplace well-being: A job demands-resources perspective.</w:t>
      </w:r>
      <w:r>
        <w:t xml:space="preserve"> </w:t>
      </w:r>
      <w:r>
        <w:rPr>
          <w:i/>
          <w:iCs/>
        </w:rPr>
        <w:t xml:space="preserve">Personnel Review</w:t>
      </w:r>
      <w:r>
        <w:t xml:space="preserve">, 1–18.</w:t>
      </w:r>
    </w:p>
    <w:bookmarkEnd w:id="42"/>
    <w:bookmarkEnd w:id="43"/>
    <w:bookmarkStart w:id="44" w:name="tbl-alphas"/>
    <w:p>
      <w:pPr>
        <w:pStyle w:val="FigureTitle"/>
      </w:pPr>
      <w:r>
        <w:t xml:space="preserve">Table 1</w:t>
      </w:r>
    </w:p>
    <w:p>
      <w:pPr>
        <w:pStyle w:val="Caption"/>
      </w:pPr>
      <w:r>
        <w:t xml:space="preserve">Alpha estimates all 9 subscales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2880"/>
        <w:gridCol w:w="2880"/>
      </w:tblGrid>
      <w:tr>
        <w:trPr>
          <w:trHeight w:val="360"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Subscale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Alpha</w:t>
            </w:r>
          </w:p>
        </w:tc>
      </w:tr>
      <w:tr>
        <w:trPr>
          <w:trHeight w:val="36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Chat GPT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Effeciency Seeking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0.69</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Collaborative Optimiser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0.88</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Human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Effeciency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Collaborative Optimiser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AI Genie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Effeciency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r>
      <w:tr>
        <w:trPr>
          <w:trHeight w:val="360" w:hRule="auto"/>
        </w:trPr>
        body9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Collaborative Optimiser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r>
    </w:tbl>
    <w:bookmarkEnd w:id="44"/>
    <w:p>
      <w:r>
        <w:br w:type="page"/>
      </w:r>
    </w:p>
    <w:bookmarkStart w:id="45" w:name="tbl-majors"/>
    <w:p>
      <w:pPr>
        <w:pStyle w:val="FigureTitle"/>
      </w:pPr>
      <w:r>
        <w:t xml:space="preserve">Table 2</w:t>
      </w:r>
    </w:p>
    <w:p>
      <w:pPr>
        <w:pStyle w:val="Caption"/>
      </w:pPr>
      <w:r>
        <w:t xml:space="preserve">Indicated major (current study respondents)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760"/>
        <w:gridCol w:w="2880"/>
        <w:gridCol w:w="2880"/>
      </w:tblGrid>
      <w:tr>
        <w:trPr>
          <w:trHeight w:val="360"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Major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Total (n)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Percent</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Applied Science   </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1.61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Applied Social Science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1.61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Business Administration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14.52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Computer Networking &amp; Information Technology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1.61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Computer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1.61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Computer and Electrical Engineering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1.61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Construction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15.32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Criminal Justice &amp; Rehabilitation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6.45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Dietetics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3.23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Early Childhood Education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Food Science &amp; Technology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Game, Design and Development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Graphic Design &amp; Interactive 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1.61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Health, Wellness &amp; Fitness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Human Development &amp; Family Studies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Information &amp; Communication Technology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Management (was Industrial Management)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Manufacturing Engineering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2.42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Marketing &amp; Business Education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1.61</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Mechanical Engineering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4.03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Packaging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Psychology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38.71</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Studio Art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1.61</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Undeclared Major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r>
      <w:tr>
        <w:trPr>
          <w:trHeight w:val="360" w:hRule="auto"/>
        </w:trPr>
        body25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Video Production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r>
    </w:tbl>
    <w:bookmarkEnd w:id="45"/>
    <w:p>
      <w:r>
        <w:br w:type="page"/>
      </w:r>
    </w:p>
    <w:bookmarkStart w:id="46" w:name="tbl-corrs"/>
    <w:p>
      <w:pPr>
        <w:pStyle w:val="FigureTitle"/>
      </w:pPr>
      <w:r>
        <w:t xml:space="preserve">Table 3</w:t>
      </w:r>
    </w:p>
    <w:p>
      <w:pPr>
        <w:pStyle w:val="Caption"/>
      </w:pPr>
      <w:r>
        <w:t xml:space="preserve">Means, standard deviations, and correlations</w:t>
      </w:r>
    </w:p>
    <w:p>
      <w:pPr>
        <w:pStyle w:val="TableCaption"/>
      </w:pPr>
      <w:r>
        <w:t xml:space="preserve">(#tab:tbl-corrs)</w:t>
      </w:r>
    </w:p>
    <w:tbl>
      <w:tblPr>
        <w:tblStyle w:val="Table"/>
        <w:tblW w:type="auto" w:w="0"/>
        <w:tblLook w:firstRow="1" w:lastRow="0" w:firstColumn="0" w:lastColumn="0" w:noHBand="0" w:noVBand="0" w:val="0020"/>
        <w:tblCaption w:val="(#tab:tbl-corrs)"/>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m:oMath>
              <m:r>
                <m:t>M</m:t>
              </m:r>
            </m:oMath>
            <w:r>
              <w:t xml:space="preserve">​</w:t>
            </w:r>
          </w:p>
        </w:tc>
        <w:tc>
          <w:tcPr/>
          <w:p>
            <w:pPr>
              <w:pStyle w:val="Compact"/>
              <w:jc w:val="left"/>
            </w:pPr>
            <m:oMath>
              <m:r>
                <m:t>S</m:t>
              </m:r>
              <m:r>
                <m:t>D</m:t>
              </m:r>
            </m:oMath>
            <w:r>
              <w:t xml:space="preserve">​</w:t>
            </w:r>
          </w:p>
        </w:tc>
      </w:tr>
      <w:tr>
        <w:tc>
          <w:tcPr/>
          <w:p>
            <w:pPr>
              <w:pStyle w:val="Compact"/>
            </w:pPr>
            <w:r>
              <w:t xml:space="preserve">1. GPT (ES)</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3.66</w:t>
            </w:r>
          </w:p>
        </w:tc>
        <w:tc>
          <w:tcPr/>
          <w:p>
            <w:pPr>
              <w:pStyle w:val="Compact"/>
              <w:jc w:val="left"/>
            </w:pPr>
            <w:r>
              <w:t xml:space="preserve">0.62</w:t>
            </w:r>
          </w:p>
        </w:tc>
      </w:tr>
      <w:tr>
        <w:tc>
          <w:tcPr/>
          <w:p>
            <w:pPr>
              <w:pStyle w:val="Compact"/>
            </w:pPr>
            <w:r>
              <w:t xml:space="preserve">2. SME (ES)</w:t>
            </w:r>
          </w:p>
        </w:tc>
        <w:tc>
          <w:tcPr/>
          <w:p>
            <w:pPr>
              <w:pStyle w:val="Compact"/>
              <w:jc w:val="left"/>
            </w:pPr>
            <w:r>
              <w:t xml:space="preserve">.14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2.54</w:t>
            </w:r>
          </w:p>
        </w:tc>
        <w:tc>
          <w:tcPr/>
          <w:p>
            <w:pPr>
              <w:pStyle w:val="Compact"/>
              <w:jc w:val="left"/>
            </w:pPr>
            <w:r>
              <w:t xml:space="preserve">0.59</w:t>
            </w:r>
          </w:p>
        </w:tc>
      </w:tr>
      <w:tr>
        <w:tc>
          <w:tcPr/>
          <w:p>
            <w:pPr>
              <w:pStyle w:val="Compact"/>
            </w:pPr>
            <w:r>
              <w:t xml:space="preserve">3. Genie (ES)</w:t>
            </w:r>
          </w:p>
        </w:tc>
        <w:tc>
          <w:tcPr/>
          <w:p>
            <w:pPr>
              <w:pStyle w:val="Compact"/>
              <w:jc w:val="left"/>
            </w:pPr>
            <w:r>
              <w:t xml:space="preserve">.51***</w:t>
            </w:r>
          </w:p>
        </w:tc>
        <w:tc>
          <w:tcPr/>
          <w:p>
            <w:pPr>
              <w:pStyle w:val="Compact"/>
              <w:jc w:val="left"/>
            </w:pPr>
            <w:r>
              <w:t xml:space="preserve">.49***</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3.16</w:t>
            </w:r>
          </w:p>
        </w:tc>
        <w:tc>
          <w:tcPr/>
          <w:p>
            <w:pPr>
              <w:pStyle w:val="Compact"/>
              <w:jc w:val="left"/>
            </w:pPr>
            <w:r>
              <w:t xml:space="preserve">0.98</w:t>
            </w:r>
          </w:p>
        </w:tc>
      </w:tr>
      <w:tr>
        <w:tc>
          <w:tcPr/>
          <w:p>
            <w:pPr>
              <w:pStyle w:val="Compact"/>
            </w:pPr>
            <w:r>
              <w:t xml:space="preserve">4. GPT (PI)</w:t>
            </w:r>
          </w:p>
        </w:tc>
        <w:tc>
          <w:tcPr/>
          <w:p>
            <w:pPr>
              <w:pStyle w:val="Compact"/>
              <w:jc w:val="left"/>
            </w:pPr>
            <w:r>
              <w:t xml:space="preserve">.58***</w:t>
            </w:r>
          </w:p>
        </w:tc>
        <w:tc>
          <w:tcPr/>
          <w:p>
            <w:pPr>
              <w:pStyle w:val="Compact"/>
              <w:jc w:val="left"/>
            </w:pPr>
            <w:r>
              <w:t xml:space="preserve">.46***</w:t>
            </w:r>
          </w:p>
        </w:tc>
        <w:tc>
          <w:tcPr/>
          <w:p>
            <w:pPr>
              <w:pStyle w:val="Compact"/>
              <w:jc w:val="left"/>
            </w:pPr>
            <w:r>
              <w:t xml:space="preserve">.74***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3.63</w:t>
            </w:r>
          </w:p>
        </w:tc>
        <w:tc>
          <w:tcPr/>
          <w:p>
            <w:pPr>
              <w:pStyle w:val="Compact"/>
              <w:jc w:val="left"/>
            </w:pPr>
            <w:r>
              <w:t xml:space="preserve">0.88</w:t>
            </w:r>
          </w:p>
        </w:tc>
      </w:tr>
      <w:tr>
        <w:tc>
          <w:tcPr/>
          <w:p>
            <w:pPr>
              <w:pStyle w:val="Compact"/>
            </w:pPr>
            <w:r>
              <w:t xml:space="preserve">5. SME (PI)</w:t>
            </w:r>
          </w:p>
        </w:tc>
        <w:tc>
          <w:tcPr/>
          <w:p>
            <w:pPr>
              <w:pStyle w:val="Compact"/>
              <w:jc w:val="left"/>
            </w:pPr>
            <w:r>
              <w:t xml:space="preserve">.41***</w:t>
            </w:r>
          </w:p>
        </w:tc>
        <w:tc>
          <w:tcPr/>
          <w:p>
            <w:pPr>
              <w:pStyle w:val="Compact"/>
              <w:jc w:val="left"/>
            </w:pPr>
            <w:r>
              <w:t xml:space="preserve">.58***</w:t>
            </w:r>
          </w:p>
        </w:tc>
        <w:tc>
          <w:tcPr/>
          <w:p>
            <w:pPr>
              <w:pStyle w:val="Compact"/>
              <w:jc w:val="left"/>
            </w:pPr>
            <w:r>
              <w:t xml:space="preserve">.76***</w:t>
            </w:r>
          </w:p>
        </w:tc>
        <w:tc>
          <w:tcPr/>
          <w:p>
            <w:pPr>
              <w:pStyle w:val="Compact"/>
              <w:jc w:val="left"/>
            </w:pPr>
            <w:r>
              <w:t xml:space="preserve">.78***</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3.26</w:t>
            </w:r>
          </w:p>
        </w:tc>
        <w:tc>
          <w:tcPr/>
          <w:p>
            <w:pPr>
              <w:pStyle w:val="Compact"/>
              <w:jc w:val="left"/>
            </w:pPr>
            <w:r>
              <w:t xml:space="preserve">0.91</w:t>
            </w:r>
          </w:p>
        </w:tc>
      </w:tr>
      <w:tr>
        <w:tc>
          <w:tcPr/>
          <w:p>
            <w:pPr>
              <w:pStyle w:val="Compact"/>
            </w:pPr>
            <w:r>
              <w:t xml:space="preserve">6. Genie (PI)</w:t>
            </w:r>
          </w:p>
        </w:tc>
        <w:tc>
          <w:tcPr/>
          <w:p>
            <w:pPr>
              <w:pStyle w:val="Compact"/>
              <w:jc w:val="left"/>
            </w:pPr>
            <w:r>
              <w:t xml:space="preserve">.38***</w:t>
            </w:r>
          </w:p>
        </w:tc>
        <w:tc>
          <w:tcPr/>
          <w:p>
            <w:pPr>
              <w:pStyle w:val="Compact"/>
              <w:jc w:val="left"/>
            </w:pPr>
            <w:r>
              <w:t xml:space="preserve">.52***</w:t>
            </w:r>
          </w:p>
        </w:tc>
        <w:tc>
          <w:tcPr/>
          <w:p>
            <w:pPr>
              <w:pStyle w:val="Compact"/>
              <w:jc w:val="left"/>
            </w:pPr>
            <w:r>
              <w:t xml:space="preserve">.84***</w:t>
            </w:r>
          </w:p>
        </w:tc>
        <w:tc>
          <w:tcPr/>
          <w:p>
            <w:pPr>
              <w:pStyle w:val="Compact"/>
              <w:jc w:val="left"/>
            </w:pPr>
            <w:r>
              <w:t xml:space="preserve">.77***</w:t>
            </w:r>
          </w:p>
        </w:tc>
        <w:tc>
          <w:tcPr/>
          <w:p>
            <w:pPr>
              <w:pStyle w:val="Compact"/>
              <w:jc w:val="left"/>
            </w:pPr>
            <w:r>
              <w:t xml:space="preserve">.84***</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3.22</w:t>
            </w:r>
          </w:p>
        </w:tc>
        <w:tc>
          <w:tcPr/>
          <w:p>
            <w:pPr>
              <w:pStyle w:val="Compact"/>
              <w:jc w:val="left"/>
            </w:pPr>
            <w:r>
              <w:t xml:space="preserve">0.97</w:t>
            </w:r>
          </w:p>
        </w:tc>
      </w:tr>
      <w:tr>
        <w:tc>
          <w:tcPr/>
          <w:p>
            <w:pPr>
              <w:pStyle w:val="Compact"/>
            </w:pPr>
            <w:r>
              <w:t xml:space="preserve">7. GPT (CO)</w:t>
            </w:r>
          </w:p>
        </w:tc>
        <w:tc>
          <w:tcPr/>
          <w:p>
            <w:pPr>
              <w:pStyle w:val="Compact"/>
              <w:jc w:val="left"/>
            </w:pPr>
            <w:r>
              <w:t xml:space="preserve">.37***</w:t>
            </w:r>
          </w:p>
        </w:tc>
        <w:tc>
          <w:tcPr/>
          <w:p>
            <w:pPr>
              <w:pStyle w:val="Compact"/>
              <w:jc w:val="left"/>
            </w:pPr>
            <w:r>
              <w:t xml:space="preserve">.42***</w:t>
            </w:r>
          </w:p>
        </w:tc>
        <w:tc>
          <w:tcPr/>
          <w:p>
            <w:pPr>
              <w:pStyle w:val="Compact"/>
              <w:jc w:val="left"/>
            </w:pPr>
            <w:r>
              <w:t xml:space="preserve">.74***</w:t>
            </w:r>
          </w:p>
        </w:tc>
        <w:tc>
          <w:tcPr/>
          <w:p>
            <w:pPr>
              <w:pStyle w:val="Compact"/>
              <w:jc w:val="left"/>
            </w:pPr>
            <w:r>
              <w:t xml:space="preserve">.80***</w:t>
            </w:r>
          </w:p>
        </w:tc>
        <w:tc>
          <w:tcPr/>
          <w:p>
            <w:pPr>
              <w:pStyle w:val="Compact"/>
              <w:jc w:val="left"/>
            </w:pPr>
            <w:r>
              <w:t xml:space="preserve">.79***</w:t>
            </w:r>
          </w:p>
        </w:tc>
        <w:tc>
          <w:tcPr/>
          <w:p>
            <w:pPr>
              <w:pStyle w:val="Compact"/>
              <w:jc w:val="left"/>
            </w:pPr>
            <w:r>
              <w:t xml:space="preserve">.86***</w:t>
            </w:r>
          </w:p>
        </w:tc>
        <w:tc>
          <w:tcPr/>
          <w:p>
            <w:pPr>
              <w:pStyle w:val="Compact"/>
              <w:jc w:val="left"/>
            </w:pPr>
            <w:r>
              <w:t xml:space="preserve">-</w:t>
            </w:r>
          </w:p>
        </w:tc>
        <w:tc>
          <w:tcPr/>
          <w:p>
            <w:pPr>
              <w:pStyle w:val="Compact"/>
            </w:pPr>
          </w:p>
        </w:tc>
        <w:tc>
          <w:tcPr/>
          <w:p>
            <w:pPr>
              <w:pStyle w:val="Compact"/>
              <w:jc w:val="left"/>
            </w:pPr>
            <w:r>
              <w:t xml:space="preserve">3.18</w:t>
            </w:r>
          </w:p>
        </w:tc>
        <w:tc>
          <w:tcPr/>
          <w:p>
            <w:pPr>
              <w:pStyle w:val="Compact"/>
              <w:jc w:val="left"/>
            </w:pPr>
            <w:r>
              <w:t xml:space="preserve">0.91</w:t>
            </w:r>
          </w:p>
        </w:tc>
      </w:tr>
      <w:tr>
        <w:tc>
          <w:tcPr/>
          <w:p>
            <w:pPr>
              <w:pStyle w:val="Compact"/>
            </w:pPr>
            <w:r>
              <w:t xml:space="preserve">8. SME (CO)</w:t>
            </w:r>
          </w:p>
        </w:tc>
        <w:tc>
          <w:tcPr/>
          <w:p>
            <w:pPr>
              <w:pStyle w:val="Compact"/>
              <w:jc w:val="left"/>
            </w:pPr>
            <w:r>
              <w:t xml:space="preserve">.35***</w:t>
            </w:r>
          </w:p>
        </w:tc>
        <w:tc>
          <w:tcPr/>
          <w:p>
            <w:pPr>
              <w:pStyle w:val="Compact"/>
              <w:jc w:val="left"/>
            </w:pPr>
            <w:r>
              <w:t xml:space="preserve">.51***</w:t>
            </w:r>
          </w:p>
        </w:tc>
        <w:tc>
          <w:tcPr/>
          <w:p>
            <w:pPr>
              <w:pStyle w:val="Compact"/>
              <w:jc w:val="left"/>
            </w:pPr>
            <w:r>
              <w:t xml:space="preserve">.64***</w:t>
            </w:r>
          </w:p>
        </w:tc>
        <w:tc>
          <w:tcPr/>
          <w:p>
            <w:pPr>
              <w:pStyle w:val="Compact"/>
              <w:jc w:val="left"/>
            </w:pPr>
            <w:r>
              <w:t xml:space="preserve">.71***</w:t>
            </w:r>
          </w:p>
        </w:tc>
        <w:tc>
          <w:tcPr/>
          <w:p>
            <w:pPr>
              <w:pStyle w:val="Compact"/>
              <w:jc w:val="left"/>
            </w:pPr>
            <w:r>
              <w:t xml:space="preserve">.81***</w:t>
            </w:r>
          </w:p>
        </w:tc>
        <w:tc>
          <w:tcPr/>
          <w:p>
            <w:pPr>
              <w:pStyle w:val="Compact"/>
              <w:jc w:val="left"/>
            </w:pPr>
            <w:r>
              <w:t xml:space="preserve">.75***</w:t>
            </w:r>
          </w:p>
        </w:tc>
        <w:tc>
          <w:tcPr/>
          <w:p>
            <w:pPr>
              <w:pStyle w:val="Compact"/>
              <w:jc w:val="left"/>
            </w:pPr>
            <w:r>
              <w:t xml:space="preserve">.81***</w:t>
            </w:r>
          </w:p>
        </w:tc>
        <w:tc>
          <w:tcPr/>
          <w:p>
            <w:pPr>
              <w:pStyle w:val="Compact"/>
              <w:jc w:val="left"/>
            </w:pPr>
            <w:r>
              <w:t xml:space="preserve">-</w:t>
            </w:r>
          </w:p>
        </w:tc>
        <w:tc>
          <w:tcPr/>
          <w:p>
            <w:pPr>
              <w:pStyle w:val="Compact"/>
              <w:jc w:val="left"/>
            </w:pPr>
            <w:r>
              <w:t xml:space="preserve">2.88</w:t>
            </w:r>
          </w:p>
        </w:tc>
        <w:tc>
          <w:tcPr/>
          <w:p>
            <w:pPr>
              <w:pStyle w:val="Compact"/>
              <w:jc w:val="left"/>
            </w:pPr>
            <w:r>
              <w:t xml:space="preserve">0.84</w:t>
            </w:r>
          </w:p>
        </w:tc>
      </w:tr>
      <w:tr>
        <w:tc>
          <w:tcPr/>
          <w:p>
            <w:pPr>
              <w:pStyle w:val="Compact"/>
            </w:pPr>
            <w:r>
              <w:t xml:space="preserve">9. Genie (CO)</w:t>
            </w:r>
          </w:p>
        </w:tc>
        <w:tc>
          <w:tcPr/>
          <w:p>
            <w:pPr>
              <w:pStyle w:val="Compact"/>
              <w:jc w:val="left"/>
            </w:pPr>
            <w:r>
              <w:t xml:space="preserve">.38***</w:t>
            </w:r>
          </w:p>
        </w:tc>
        <w:tc>
          <w:tcPr/>
          <w:p>
            <w:pPr>
              <w:pStyle w:val="Compact"/>
              <w:jc w:val="left"/>
            </w:pPr>
            <w:r>
              <w:t xml:space="preserve">.54***</w:t>
            </w:r>
          </w:p>
        </w:tc>
        <w:tc>
          <w:tcPr/>
          <w:p>
            <w:pPr>
              <w:pStyle w:val="Compact"/>
              <w:jc w:val="left"/>
            </w:pPr>
            <w:r>
              <w:t xml:space="preserve">.80***</w:t>
            </w:r>
          </w:p>
        </w:tc>
        <w:tc>
          <w:tcPr/>
          <w:p>
            <w:pPr>
              <w:pStyle w:val="Compact"/>
              <w:jc w:val="left"/>
            </w:pPr>
            <w:r>
              <w:t xml:space="preserve">.72***</w:t>
            </w:r>
          </w:p>
        </w:tc>
        <w:tc>
          <w:tcPr/>
          <w:p>
            <w:pPr>
              <w:pStyle w:val="Compact"/>
              <w:jc w:val="left"/>
            </w:pPr>
            <w:r>
              <w:t xml:space="preserve">.80***</w:t>
            </w:r>
          </w:p>
        </w:tc>
        <w:tc>
          <w:tcPr/>
          <w:p>
            <w:pPr>
              <w:pStyle w:val="Compact"/>
              <w:jc w:val="left"/>
            </w:pPr>
            <w:r>
              <w:t xml:space="preserve">.85***</w:t>
            </w:r>
          </w:p>
        </w:tc>
        <w:tc>
          <w:tcPr/>
          <w:p>
            <w:pPr>
              <w:pStyle w:val="Compact"/>
              <w:jc w:val="left"/>
            </w:pPr>
            <w:r>
              <w:t xml:space="preserve">.83***</w:t>
            </w:r>
          </w:p>
        </w:tc>
        <w:tc>
          <w:tcPr/>
          <w:p>
            <w:pPr>
              <w:pStyle w:val="Compact"/>
              <w:jc w:val="left"/>
            </w:pPr>
            <w:r>
              <w:t xml:space="preserve">.76***</w:t>
            </w:r>
          </w:p>
        </w:tc>
        <w:tc>
          <w:tcPr/>
          <w:p>
            <w:pPr>
              <w:pStyle w:val="Compact"/>
              <w:jc w:val="left"/>
            </w:pPr>
            <w:r>
              <w:t xml:space="preserve">2.85</w:t>
            </w:r>
          </w:p>
        </w:tc>
        <w:tc>
          <w:tcPr/>
          <w:p>
            <w:pPr>
              <w:pStyle w:val="Compact"/>
              <w:jc w:val="left"/>
            </w:pPr>
            <w:r>
              <w:t xml:space="preserve">0.96</w:t>
            </w:r>
          </w:p>
        </w:tc>
      </w:tr>
    </w:tbl>
    <w:bookmarkEnd w:id="46"/>
    <w:p>
      <w:r>
        <w:br w:type="page"/>
      </w:r>
    </w:p>
    <w:bookmarkStart w:id="50" w:name="fig-net-gpt"/>
    <w:p>
      <w:pPr>
        <w:pStyle w:val="FigureTitle"/>
      </w:pPr>
      <w:r>
        <w:t xml:space="preserve">Figure 1</w:t>
      </w:r>
    </w:p>
    <w:p>
      <w:pPr>
        <w:pStyle w:val="Caption"/>
      </w:pPr>
      <w:r>
        <w:t xml:space="preserve">EFA loading network, Chat GPT–generated items (3 factors, ML, oblimin; |loading| ≥ .30)</w:t>
      </w:r>
    </w:p>
    <w:p>
      <w:pPr>
        <w:pStyle w:val="FigureWithoutNote"/>
      </w:pPr>
      <w:r>
        <w:drawing>
          <wp:inline>
            <wp:extent cx="5943600" cy="5943600"/>
            <wp:effectExtent b="0" l="0" r="0" t="0"/>
            <wp:docPr descr="" title="" id="48" name="Picture"/>
            <a:graphic>
              <a:graphicData uri="http://schemas.openxmlformats.org/drawingml/2006/picture">
                <pic:pic>
                  <pic:nvPicPr>
                    <pic:cNvPr descr="AI_JCM_files/figure-docx/fig-net-gpt-1.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bookmarkEnd w:id="50"/>
    <w:p>
      <w:r>
        <w:br w:type="page"/>
      </w:r>
    </w:p>
    <w:bookmarkStart w:id="54" w:name="fig-net-sme"/>
    <w:p>
      <w:pPr>
        <w:pStyle w:val="FigureTitle"/>
      </w:pPr>
      <w:r>
        <w:t xml:space="preserve">Figure 2</w:t>
      </w:r>
    </w:p>
    <w:p>
      <w:pPr>
        <w:pStyle w:val="Caption"/>
      </w:pPr>
      <w:r>
        <w:t xml:space="preserve">EFA loading network, expert–generated items (3 factors, ML, oblimin; |loading| ≥ .30)</w:t>
      </w:r>
    </w:p>
    <w:p>
      <w:pPr>
        <w:pStyle w:val="FigureWithoutNote"/>
      </w:pPr>
      <w:r>
        <w:drawing>
          <wp:inline>
            <wp:extent cx="5943600" cy="5943600"/>
            <wp:effectExtent b="0" l="0" r="0" t="0"/>
            <wp:docPr descr="" title="" id="52" name="Picture"/>
            <a:graphic>
              <a:graphicData uri="http://schemas.openxmlformats.org/drawingml/2006/picture">
                <pic:pic>
                  <pic:nvPicPr>
                    <pic:cNvPr descr="AI_JCM_files/figure-docx/fig-net-sme-1.png" id="53" name="Picture"/>
                    <pic:cNvPicPr>
                      <a:picLocks noChangeArrowheads="1" noChangeAspect="1"/>
                    </pic:cNvPicPr>
                  </pic:nvPicPr>
                  <pic:blipFill>
                    <a:blip r:embed="rId51"/>
                    <a:stretch>
                      <a:fillRect/>
                    </a:stretch>
                  </pic:blipFill>
                  <pic:spPr bwMode="auto">
                    <a:xfrm>
                      <a:off x="0" y="0"/>
                      <a:ext cx="5943600" cy="5943600"/>
                    </a:xfrm>
                    <a:prstGeom prst="rect">
                      <a:avLst/>
                    </a:prstGeom>
                    <a:noFill/>
                    <a:ln w="9525">
                      <a:noFill/>
                      <a:headEnd/>
                      <a:tailEnd/>
                    </a:ln>
                  </pic:spPr>
                </pic:pic>
              </a:graphicData>
            </a:graphic>
          </wp:inline>
        </w:drawing>
      </w:r>
    </w:p>
    <w:bookmarkEnd w:id="54"/>
    <w:p>
      <w:r>
        <w:br w:type="page"/>
      </w:r>
    </w:p>
    <w:bookmarkStart w:id="58" w:name="fig-net-genie"/>
    <w:p>
      <w:pPr>
        <w:pStyle w:val="FigureTitle"/>
      </w:pPr>
      <w:r>
        <w:t xml:space="preserve">Figure 3</w:t>
      </w:r>
    </w:p>
    <w:p>
      <w:pPr>
        <w:pStyle w:val="Caption"/>
      </w:pPr>
      <w:r>
        <w:t xml:space="preserve">EFA loading network, AI-GENIE-generated items (3 factors, ML, oblimin; |loading| ≥ .30)</w:t>
      </w:r>
    </w:p>
    <w:p>
      <w:pPr>
        <w:pStyle w:val="FigureWithoutNote"/>
      </w:pPr>
      <w:r>
        <w:drawing>
          <wp:inline>
            <wp:extent cx="5943600" cy="5943600"/>
            <wp:effectExtent b="0" l="0" r="0" t="0"/>
            <wp:docPr descr="" title="" id="56" name="Picture"/>
            <a:graphic>
              <a:graphicData uri="http://schemas.openxmlformats.org/drawingml/2006/picture">
                <pic:pic>
                  <pic:nvPicPr>
                    <pic:cNvPr descr="AI_JCM_files/figure-docx/fig-net-genie-1.png" id="57" name="Picture"/>
                    <pic:cNvPicPr>
                      <a:picLocks noChangeArrowheads="1" noChangeAspect="1"/>
                    </pic:cNvPicPr>
                  </pic:nvPicPr>
                  <pic:blipFill>
                    <a:blip r:embed="rId55"/>
                    <a:stretch>
                      <a:fillRect/>
                    </a:stretch>
                  </pic:blipFill>
                  <pic:spPr bwMode="auto">
                    <a:xfrm>
                      <a:off x="0" y="0"/>
                      <a:ext cx="5943600" cy="5943600"/>
                    </a:xfrm>
                    <a:prstGeom prst="rect">
                      <a:avLst/>
                    </a:prstGeom>
                    <a:noFill/>
                    <a:ln w="9525">
                      <a:noFill/>
                      <a:headEnd/>
                      <a:tailEnd/>
                    </a:ln>
                  </pic:spPr>
                </pic:pic>
              </a:graphicData>
            </a:graphic>
          </wp:inline>
        </w:drawing>
      </w:r>
    </w:p>
    <w:bookmarkEnd w:id="58"/>
    <w:p>
      <w:r>
        <w:br w:type="page"/>
      </w:r>
    </w:p>
    <w:bookmarkStart w:id="62" w:name="fig-ega-gpt"/>
    <w:p>
      <w:pPr>
        <w:pStyle w:val="FigureTitle"/>
      </w:pPr>
      <w:r>
        <w:t xml:space="preserve">Figure 4</w:t>
      </w:r>
    </w:p>
    <w:p>
      <w:pPr>
        <w:pStyle w:val="Caption"/>
      </w:pPr>
      <w:r>
        <w:t xml:space="preserve">Exploratory Graph Analysis (Chat GPT)</w:t>
      </w:r>
    </w:p>
    <w:p>
      <w:pPr>
        <w:pStyle w:val="FigureWithoutNote"/>
      </w:pPr>
      <w:r>
        <w:drawing>
          <wp:inline>
            <wp:extent cx="5943600" cy="5943600"/>
            <wp:effectExtent b="0" l="0" r="0" t="0"/>
            <wp:docPr descr="" title="" id="60" name="Picture"/>
            <a:graphic>
              <a:graphicData uri="http://schemas.openxmlformats.org/drawingml/2006/picture">
                <pic:pic>
                  <pic:nvPicPr>
                    <pic:cNvPr descr="AI_JCM_files/figure-docx/fig-ega-gpt-1.png" id="61" name="Picture"/>
                    <pic:cNvPicPr>
                      <a:picLocks noChangeArrowheads="1" noChangeAspect="1"/>
                    </pic:cNvPicPr>
                  </pic:nvPicPr>
                  <pic:blipFill>
                    <a:blip r:embed="rId59"/>
                    <a:stretch>
                      <a:fillRect/>
                    </a:stretch>
                  </pic:blipFill>
                  <pic:spPr bwMode="auto">
                    <a:xfrm>
                      <a:off x="0" y="0"/>
                      <a:ext cx="5943600" cy="5943600"/>
                    </a:xfrm>
                    <a:prstGeom prst="rect">
                      <a:avLst/>
                    </a:prstGeom>
                    <a:noFill/>
                    <a:ln w="9525">
                      <a:noFill/>
                      <a:headEnd/>
                      <a:tailEnd/>
                    </a:ln>
                  </pic:spPr>
                </pic:pic>
              </a:graphicData>
            </a:graphic>
          </wp:inline>
        </w:drawing>
      </w:r>
    </w:p>
    <w:bookmarkEnd w:id="62"/>
    <w:p>
      <w:r>
        <w:br w:type="page"/>
      </w:r>
    </w:p>
    <w:bookmarkStart w:id="66" w:name="fig-ega-sme"/>
    <w:p>
      <w:pPr>
        <w:pStyle w:val="FigureTitle"/>
      </w:pPr>
      <w:r>
        <w:t xml:space="preserve">Figure 5</w:t>
      </w:r>
    </w:p>
    <w:p>
      <w:pPr>
        <w:pStyle w:val="Caption"/>
      </w:pPr>
      <w:r>
        <w:t xml:space="preserve">Exploratory Graph Analysis (SME)</w:t>
      </w:r>
    </w:p>
    <w:p>
      <w:pPr>
        <w:pStyle w:val="FigureWithoutNote"/>
      </w:pPr>
      <w:r>
        <w:drawing>
          <wp:inline>
            <wp:extent cx="5943600" cy="5943600"/>
            <wp:effectExtent b="0" l="0" r="0" t="0"/>
            <wp:docPr descr="" title="" id="64" name="Picture"/>
            <a:graphic>
              <a:graphicData uri="http://schemas.openxmlformats.org/drawingml/2006/picture">
                <pic:pic>
                  <pic:nvPicPr>
                    <pic:cNvPr descr="AI_JCM_files/figure-docx/fig-ega-sme-1.png" id="65" name="Picture"/>
                    <pic:cNvPicPr>
                      <a:picLocks noChangeArrowheads="1" noChangeAspect="1"/>
                    </pic:cNvPicPr>
                  </pic:nvPicPr>
                  <pic:blipFill>
                    <a:blip r:embed="rId63"/>
                    <a:stretch>
                      <a:fillRect/>
                    </a:stretch>
                  </pic:blipFill>
                  <pic:spPr bwMode="auto">
                    <a:xfrm>
                      <a:off x="0" y="0"/>
                      <a:ext cx="5943600" cy="5943600"/>
                    </a:xfrm>
                    <a:prstGeom prst="rect">
                      <a:avLst/>
                    </a:prstGeom>
                    <a:noFill/>
                    <a:ln w="9525">
                      <a:noFill/>
                      <a:headEnd/>
                      <a:tailEnd/>
                    </a:ln>
                  </pic:spPr>
                </pic:pic>
              </a:graphicData>
            </a:graphic>
          </wp:inline>
        </w:drawing>
      </w:r>
    </w:p>
    <w:bookmarkEnd w:id="66"/>
    <w:p>
      <w:r>
        <w:br w:type="page"/>
      </w:r>
    </w:p>
    <w:bookmarkStart w:id="70" w:name="fig-ega-genie"/>
    <w:p>
      <w:pPr>
        <w:pStyle w:val="FigureTitle"/>
      </w:pPr>
      <w:r>
        <w:t xml:space="preserve">Figure 6</w:t>
      </w:r>
    </w:p>
    <w:p>
      <w:pPr>
        <w:pStyle w:val="Caption"/>
      </w:pPr>
      <w:r>
        <w:t xml:space="preserve">Exploratory Graph Analysis (AI–Genie)</w:t>
      </w:r>
    </w:p>
    <w:p>
      <w:pPr>
        <w:pStyle w:val="FigureWithoutNote"/>
      </w:pPr>
      <w:r>
        <w:drawing>
          <wp:inline>
            <wp:extent cx="5943600" cy="5943600"/>
            <wp:effectExtent b="0" l="0" r="0" t="0"/>
            <wp:docPr descr="" title="" id="68" name="Picture"/>
            <a:graphic>
              <a:graphicData uri="http://schemas.openxmlformats.org/drawingml/2006/picture">
                <pic:pic>
                  <pic:nvPicPr>
                    <pic:cNvPr descr="AI_JCM_files/figure-docx/fig-ega-genie-1.png" id="69" name="Picture"/>
                    <pic:cNvPicPr>
                      <a:picLocks noChangeArrowheads="1" noChangeAspect="1"/>
                    </pic:cNvPicPr>
                  </pic:nvPicPr>
                  <pic:blipFill>
                    <a:blip r:embed="rId67"/>
                    <a:stretch>
                      <a:fillRect/>
                    </a:stretch>
                  </pic:blipFill>
                  <pic:spPr bwMode="auto">
                    <a:xfrm>
                      <a:off x="0" y="0"/>
                      <a:ext cx="5943600" cy="5943600"/>
                    </a:xfrm>
                    <a:prstGeom prst="rect">
                      <a:avLst/>
                    </a:prstGeom>
                    <a:noFill/>
                    <a:ln w="9525">
                      <a:noFill/>
                      <a:headEnd/>
                      <a:tailEnd/>
                    </a:ln>
                  </pic:spPr>
                </pic:pic>
              </a:graphicData>
            </a:graphic>
          </wp:inline>
        </w:drawing>
      </w:r>
    </w:p>
    <w:bookmarkEnd w:id="70"/>
    <w:p>
      <w:r>
        <w:br w:type="page"/>
      </w:r>
    </w:p>
    <w:bookmarkEnd w:id="7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Each figure shows the results of an exploratory factor analysis as a network. The large grey nodes are the extracted factors. The smaller coloured nodes are the survey items, and their colour shows which subscale the item was written for: Efficiency Seeking, Pragmatic Integrator or Collaborative Optimiser. A line between an item and a factor means the item loads on that factor at |.30| or higher. Thicker, darker lines mean stronger loadings, and red lines mean negative loadings. If the items worked as intended, each factor would be surrounded by a cluster of items of a single colour, and each item would connect to only one factor. Factors that collect items of mixed colours, or items that connect to several factors (cross-loadings), suggest the intended three-type structure is not holding up.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67" Target="media/rId67.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AI–ADOPTERS</dc:description>
  <cp:keywords/>
  <dcterms:created xsi:type="dcterms:W3CDTF">2026-10-02T15:43:45Z</dcterms:created>
  <dcterms:modified xsi:type="dcterms:W3CDTF">2026-10-02T15:43:45Z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AI–Adopters: Three scale construction procedures</vt:lpwstr>
  </property>
  <property fmtid="{D5CDD505-2E9C-101B-9397-08002B2CF9AE}" pid="6" name="apatitledisplay">
    <vt:lpwstr>AI–Adopters: Three scale construction procedures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editor">
    <vt:lpwstr/>
  </property>
  <property fmtid="{D5CDD505-2E9C-101B-9397-08002B2CF9AE}" pid="16" name="execute">
    <vt:lpwstr/>
  </property>
  <property fmtid="{D5CDD505-2E9C-101B-9397-08002B2CF9AE}" pid="17" name="fig-cap-location">
    <vt:lpwstr>top</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no-ampersand-parenthetical">
    <vt:lpwstr>False</vt:lpwstr>
  </property>
  <property fmtid="{D5CDD505-2E9C-101B-9397-08002B2CF9AE}" pid="26" name="number-depth">
    <vt:lpwstr>3</vt:lpwstr>
  </property>
  <property fmtid="{D5CDD505-2E9C-101B-9397-08002B2CF9AE}" pid="27" name="numbersections">
    <vt:lpwstr>False</vt:lpwstr>
  </property>
  <property fmtid="{D5CDD505-2E9C-101B-9397-08002B2CF9AE}" pid="28" name="oneaffiliation">
    <vt:lpwstr>True</vt:lpwstr>
  </property>
  <property fmtid="{D5CDD505-2E9C-101B-9397-08002B2CF9AE}" pid="29" name="oneauthor">
    <vt:lpwstr>True</vt:lpwstr>
  </property>
  <property fmtid="{D5CDD505-2E9C-101B-9397-08002B2CF9AE}" pid="30" name="references">
    <vt:lpwstr/>
  </property>
  <property fmtid="{D5CDD505-2E9C-101B-9397-08002B2CF9AE}" pid="31" name="revealjs-plugins">
    <vt:lpwstr/>
  </property>
  <property fmtid="{D5CDD505-2E9C-101B-9397-08002B2CF9AE}" pid="32" name="shorttitle">
    <vt:lpwstr>AI–ADOPTERS</vt:lpwstr>
  </property>
  <property fmtid="{D5CDD505-2E9C-101B-9397-08002B2CF9AE}" pid="33" name="suppress-abstract">
    <vt:lpwstr>False</vt:lpwstr>
  </property>
  <property fmtid="{D5CDD505-2E9C-101B-9397-08002B2CF9AE}" pid="34" name="suppress-affiliation">
    <vt:lpwstr>False</vt:lpwstr>
  </property>
  <property fmtid="{D5CDD505-2E9C-101B-9397-08002B2CF9AE}" pid="35" name="suppress-author">
    <vt:lpwstr>False</vt:lpwstr>
  </property>
  <property fmtid="{D5CDD505-2E9C-101B-9397-08002B2CF9AE}" pid="36" name="suppress-author-note">
    <vt:lpwstr>False</vt:lpwstr>
  </property>
  <property fmtid="{D5CDD505-2E9C-101B-9397-08002B2CF9AE}" pid="37" name="suppress-corresponding-address">
    <vt:lpwstr>False</vt:lpwstr>
  </property>
  <property fmtid="{D5CDD505-2E9C-101B-9397-08002B2CF9AE}" pid="38" name="suppress-corresponding-affiliation-name">
    <vt:lpwstr>False</vt:lpwstr>
  </property>
  <property fmtid="{D5CDD505-2E9C-101B-9397-08002B2CF9AE}" pid="39" name="suppress-corresponding-city">
    <vt:lpwstr>False</vt:lpwstr>
  </property>
  <property fmtid="{D5CDD505-2E9C-101B-9397-08002B2CF9AE}" pid="40" name="suppress-corresponding-countr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True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2156</vt:lpwstr>
  </property>
  <property fmtid="{D5CDD505-2E9C-101B-9397-08002B2CF9AE}" pid="61" name="zerocitations">
    <vt:lpwstr>False</vt:lpwstr>
  </property>
</Properties>
</file>