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2.png" ContentType="image/png"/>
  <Override PartName="/word/media/rId64.png" ContentType="image/png"/>
  <Override PartName="/word/media/rId68.png" ContentType="image/png"/>
  <Override PartName="/word/media/rId60.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firstheader"/>
    <w:p>
      <w:pPr>
        <w:pStyle w:val="Heading1"/>
      </w:pPr>
      <w:r>
        <w:t xml:space="preserve">Measuring AI-Adopter Types: Comparison of Traditional vs. AI-Facilitated Procedures</w:t>
      </w:r>
    </w:p>
    <w:p>
      <w:pPr>
        <w:pStyle w:val="FirstParagraph"/>
      </w:pPr>
      <w:r>
        <w:t xml:space="preserve">Abstract</w:t>
      </w:r>
    </w:p>
    <w:p>
      <w:pPr>
        <w:pStyle w:val="BodyText"/>
      </w:pPr>
      <w:r>
        <w:t xml:space="preserve">The present study is an exploratory comparison of three approaches to</w:t>
      </w:r>
      <w:r>
        <w:t xml:space="preserve"> </w:t>
      </w:r>
      <w:r>
        <w:t xml:space="preserve">developing items intended to assess employees’ orientations toward</w:t>
      </w:r>
      <w:r>
        <w:t xml:space="preserve"> </w:t>
      </w:r>
      <w:r>
        <w:t xml:space="preserve">workplace AI. Items for Callari and Puppione (2025)’s</w:t>
      </w:r>
      <w:r>
        <w:t xml:space="preserve"> </w:t>
      </w:r>
      <w:r>
        <w:t xml:space="preserve">qualitatively-derived ideal AI user types were generated through (a)</w:t>
      </w:r>
      <w:r>
        <w:t xml:space="preserve"> </w:t>
      </w:r>
      <w:r>
        <w:t xml:space="preserve">ChatGPT, (b) AI-GENIE, and (c) industrial-organizational psychology</w:t>
      </w:r>
      <w:r>
        <w:t xml:space="preserve"> </w:t>
      </w:r>
      <w:r>
        <w:t xml:space="preserve">subject-matter experts. Traditional (e.g., EFAs) and semantic (e.g.,</w:t>
      </w:r>
      <w:r>
        <w:t xml:space="preserve"> </w:t>
      </w:r>
      <w:r>
        <w:t xml:space="preserve">exploratory graph analyses) results suggest noteworthy differences in</w:t>
      </w:r>
      <w:r>
        <w:t xml:space="preserve"> </w:t>
      </w:r>
      <w:r>
        <w:t xml:space="preserve">the factor structure and communities across the three item-generation</w:t>
      </w:r>
      <w:r>
        <w:t xml:space="preserve"> </w:t>
      </w:r>
      <w:r>
        <w:t xml:space="preserve">procedures.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w:t>
      </w:r>
      <w:r>
        <w:t xml:space="preserve"> </w:t>
      </w:r>
      <w:r>
        <w:t xml:space="preserve">characteristics shape critical psychological states and, ultimately,</w:t>
      </w:r>
      <w:r>
        <w:t xml:space="preserve"> </w:t>
      </w:r>
      <w:r>
        <w:t xml:space="preserve">important employee outcomes, and emerging research suggests that</w:t>
      </w:r>
      <w:r>
        <w:t xml:space="preserve"> </w:t>
      </w:r>
      <w:r>
        <w:t xml:space="preserve">digitization may substantially alter these characteristics. For example,</w:t>
      </w:r>
      <w:r>
        <w:t xml:space="preserve"> </w:t>
      </w:r>
      <w:r>
        <w:t xml:space="preserve">digital technologies may automate repetitive tasks, but they may also</w:t>
      </w:r>
      <w:r>
        <w:t xml:space="preserve"> </w:t>
      </w:r>
      <w:r>
        <w:t xml:space="preserve">fragment work, limit skill use, or diminish employees’ sense of</w:t>
      </w:r>
      <w:r>
        <w:t xml:space="preserve"> </w:t>
      </w:r>
      <w:r>
        <w:t xml:space="preserve">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w:t>
      </w:r>
      <w:r>
        <w:t xml:space="preserve"> </w:t>
      </w:r>
      <w:r>
        <w:t xml:space="preserve">work in the digital age identifies autonomy, skill variety, feedback,</w:t>
      </w:r>
      <w:r>
        <w:t xml:space="preserve"> </w:t>
      </w:r>
      <w:r>
        <w:t xml:space="preserve">task significance, and task identity as job characteristics affected by</w:t>
      </w:r>
      <w:r>
        <w:t xml:space="preserve"> </w:t>
      </w:r>
      <w:r>
        <w:t xml:space="preserve">workplace digitization. As such, as AI’s role in the design and</w:t>
      </w:r>
      <w:r>
        <w:t xml:space="preserve"> </w:t>
      </w:r>
      <w:r>
        <w:t xml:space="preserve">performance of work grows it is important to understand how employees</w:t>
      </w:r>
      <w:r>
        <w:t xml:space="preserve"> </w:t>
      </w:r>
      <w:r>
        <w:t xml:space="preserve">engage with the technology. The present research makes two key</w:t>
      </w:r>
      <w:r>
        <w:t xml:space="preserve"> </w:t>
      </w:r>
      <w:r>
        <w:t xml:space="preserve">contributions to our understanding of AI in the workplace: Our first aim</w:t>
      </w:r>
      <w:r>
        <w:t xml:space="preserve"> </w:t>
      </w:r>
      <w:r>
        <w:t xml:space="preserve">is to create a measure of AI adopter</w:t>
      </w:r>
      <w:r>
        <w:t xml:space="preserve"> </w:t>
      </w:r>
      <w:r>
        <w:t xml:space="preserve">“type”</w:t>
      </w:r>
      <w:r>
        <w:t xml:space="preserve"> </w:t>
      </w:r>
      <w:r>
        <w:t xml:space="preserve">as recently defined by</w:t>
      </w:r>
      <w:r>
        <w:t xml:space="preserve"> </w:t>
      </w:r>
      <w:r>
        <w:t xml:space="preserve">Callari and Puppione (</w:t>
      </w:r>
      <w:hyperlink w:anchor="ref-callari2025meaningful">
        <w:r>
          <w:rPr>
            <w:rStyle w:val="Hyperlink"/>
          </w:rPr>
          <w:t xml:space="preserve">2025</w:t>
        </w:r>
      </w:hyperlink>
      <w:r>
        <w:t xml:space="preserve">)</w:t>
      </w:r>
      <w:r>
        <w:t xml:space="preserve">. Second, we approach scale development via a novel</w:t>
      </w:r>
      <w:r>
        <w:t xml:space="preserve"> </w:t>
      </w:r>
      <w:r>
        <w:t xml:space="preserve">“competition”</w:t>
      </w:r>
      <w:r>
        <w:t xml:space="preserve"> </w:t>
      </w:r>
      <w:r>
        <w:t xml:space="preserve">of three approaches, (1) comparing traditionally-derived subject matter expert ratings, (2) with LLM-derived procedures including prompting via</w:t>
      </w:r>
      <w:r>
        <w:t xml:space="preserve"> </w:t>
      </w:r>
      <w:r>
        <w:t xml:space="preserve">ChatGPT and (3) through a dedicated R package (AI-GENIE). The contributions are both practical (a measure of AI adopter type) and methodological (combining semantic as well as quantitative indicators of measure quality).</w:t>
      </w:r>
    </w:p>
    <w:bookmarkStart w:id="22" w:name="ai-use-in-the-workplace"/>
    <w:p>
      <w:pPr>
        <w:pStyle w:val="Heading2"/>
      </w:pPr>
      <w:r>
        <w:t xml:space="preserve">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w:t>
      </w:r>
      <w:r>
        <w:t xml:space="preserve"> </w:t>
      </w:r>
      <w:r>
        <w:rPr>
          <w:i/>
          <w:iCs/>
        </w:rPr>
        <w:t xml:space="preserve">how</w:t>
      </w:r>
      <w:r>
        <w:t xml:space="preserve"> </w:t>
      </w:r>
      <w:r>
        <w:t xml:space="preserve">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such a framework for distinguish forms of AI</w:t>
      </w:r>
      <w:r>
        <w:t xml:space="preserve"> </w:t>
      </w:r>
      <w:r>
        <w:t xml:space="preserve">use. Drawing on qualitative data from employees who use Microsoft 365</w:t>
      </w:r>
      <w:r>
        <w:t xml:space="preserve"> </w:t>
      </w:r>
      <w:r>
        <w:t xml:space="preserve">Copilot at their jobs, they identified three ideal types of AI users and labeled these types as: Efficiency-Seeking, Pragmatic Integrators, and Collaborative Optimisers. These categories imply qualitatively different relationships between AI and features of work including autonomy, skill utilization, cognitive 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 suggests that AI use is not a uniform behavior but rather is best</w:t>
      </w:r>
      <w:r>
        <w:t xml:space="preserve"> </w:t>
      </w:r>
      <w:r>
        <w:t xml:space="preserve">considered multidimensional. Yet, translating qualitative ideal types</w:t>
      </w:r>
      <w:r>
        <w:t xml:space="preserve"> </w:t>
      </w:r>
      <w:r>
        <w:t xml:space="preserve">into quantitative measures presents a challenge.</w:t>
      </w:r>
    </w:p>
    <w:p>
      <w:pPr>
        <w:pStyle w:val="BodyText"/>
      </w:pPr>
      <w:r>
        <w:t xml:space="preserve">Ideal types represent recurring patterns of behavior and experience, but they do not 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 items.</w:t>
      </w:r>
      <w:r>
        <w:t xml:space="preserve"> </w:t>
      </w:r>
      <w:r>
        <w:t xml:space="preserve">Interestingly, the measurement of AI use is potentially enriched by recent technological developments. For a long time, the scale development process has relied on the efforts of researchers and subject-matter experts to turn construct definitions to survey items measuring the construct. Now, generative AI provides tools for producing surveys that measure constructs from idea generation to item testing. However, the question of whether survey items produced by generative AI can properly measure constructs remains.</w:t>
      </w:r>
    </w:p>
    <w:bookmarkEnd w:id="22"/>
    <w:bookmarkStart w:id="23" w:name="the-current-study"/>
    <w:p>
      <w:pPr>
        <w:pStyle w:val="Heading2"/>
      </w:pPr>
      <w:r>
        <w:t xml:space="preserve">The Current Study</w:t>
      </w:r>
    </w:p>
    <w:p>
      <w:pPr>
        <w:pStyle w:val="FirstParagraph"/>
      </w:pPr>
      <w:r>
        <w:t xml:space="preserve">The present study is an exploratory comparison of three approaches to</w:t>
      </w:r>
      <w:r>
        <w:t xml:space="preserve"> </w:t>
      </w:r>
      <w:r>
        <w:t xml:space="preserve">developing items intended to assess employees’ orientations toward</w:t>
      </w:r>
      <w:r>
        <w:t xml:space="preserve"> </w:t>
      </w:r>
      <w:r>
        <w:t xml:space="preserve">workplace AI use. Specifically, we develop items based on</w:t>
      </w:r>
      <w:r>
        <w:t xml:space="preserve"> </w:t>
      </w:r>
      <w:r>
        <w:t xml:space="preserve">Callari and Puppione (</w:t>
      </w:r>
      <w:hyperlink w:anchor="ref-callari2025meaningful">
        <w:r>
          <w:rPr>
            <w:rStyle w:val="Hyperlink"/>
          </w:rPr>
          <w:t xml:space="preserve">2025</w:t>
        </w:r>
      </w:hyperlink>
      <w:r>
        <w:t xml:space="preserve">)</w:t>
      </w:r>
      <w:r>
        <w:t xml:space="preserve">’s ideal AI user types via (a) ChatGPT, (b) AI–GENIE, and (c) industrial-organizational psychology subject-matter experts (SMEs). We evaluate the internal consistency, underlying factor structure, and implied semantic groupings of each item set. In doing so, this study has two primary objectives: first, to provide evidence regarding whether qualitatively derived forms of human–AI interaction can be operationalized as quantitative constructs, and second, to examine whether different approaches to item generation yield comparable representations of those constructs. More broadly, establishing how employees differ in their use of AI represents an important step toward understanding how AI may reshape established features of job design and the psychological experience of work.</w:t>
      </w:r>
    </w:p>
    <w:p>
      <w:pPr>
        <w:pStyle w:val="BlockText"/>
      </w:pPr>
      <w:r>
        <w:rPr>
          <w:i/>
          <w:iCs/>
        </w:rPr>
        <w:t xml:space="preserve">Research Question 1</w:t>
      </w:r>
      <w:r>
        <w:t xml:space="preserve">: Does one instrument development procedure</w:t>
      </w:r>
      <w:r>
        <w:t xml:space="preserve"> </w:t>
      </w:r>
      <w:r>
        <w:t xml:space="preserve">(ChatGPT, AI-GENIE, or SMEs) yeild a more coherent structure than others?</w:t>
      </w:r>
    </w:p>
    <w:p>
      <w:pPr>
        <w:pStyle w:val="BlockText"/>
      </w:pPr>
      <w:r>
        <w:rPr>
          <w:i/>
          <w:iCs/>
        </w:rPr>
        <w:t xml:space="preserve">Research Question 2</w:t>
      </w:r>
      <w:r>
        <w:t xml:space="preserve">: Can a combination of traditional and</w:t>
      </w:r>
      <w:r>
        <w:t xml:space="preserve"> </w:t>
      </w:r>
      <w:r>
        <w:t xml:space="preserve">contemporary analyses provide a richer understanding of scale structure</w:t>
      </w:r>
      <w:r>
        <w:t xml:space="preserve"> </w:t>
      </w:r>
      <w:r>
        <w:t xml:space="preserve">than either approach alone?</w:t>
      </w:r>
    </w:p>
    <w:bookmarkEnd w:id="23"/>
    <w:bookmarkEnd w:id="24"/>
    <w:bookmarkStart w:id="31" w:name="method"/>
    <w:p>
      <w:pPr>
        <w:pStyle w:val="Heading1"/>
      </w:pPr>
      <w:r>
        <w:t xml:space="preserve">Method</w:t>
      </w:r>
    </w:p>
    <w:bookmarkStart w:id="25" w:name="procedure"/>
    <w:p>
      <w:pPr>
        <w:pStyle w:val="Heading2"/>
      </w:pPr>
      <w:r>
        <w:t xml:space="preserve">Procedure</w:t>
      </w:r>
    </w:p>
    <w:p>
      <w:pPr>
        <w:pStyle w:val="FirstParagraph"/>
      </w:pPr>
      <w:r>
        <w:t xml:space="preserve">After reading a brief description of the online survey purpose and providing consent, students were asked to think of the context where they use AI the most frequently (for example, as a student or as an employee) and to keep that role in mind for the entire survey. Respondents were presented items in fixed ordering (grouped sequentially within item development procedure), followed by a few demographic questions. Responses to all AI–Adopter items were provided along a shared 5-point Likert-type scale ranging from 1 (</w:t>
      </w:r>
      <w:r>
        <w:rPr>
          <w:i/>
          <w:iCs/>
        </w:rPr>
        <w:t xml:space="preserve">Strongly Agree</w:t>
      </w:r>
      <w:r>
        <w:t xml:space="preserve">) to 5 (</w:t>
      </w:r>
      <w:r>
        <w:rPr>
          <w:i/>
          <w:iCs/>
        </w:rPr>
        <w:t xml:space="preserve">Strongly Disagree</w:t>
      </w:r>
      <w:r>
        <w:t xml:space="preserve">). Following the survey, respondents were debriefed and offered course credit for their time.</w:t>
      </w:r>
    </w:p>
    <w:bookmarkEnd w:id="25"/>
    <w:bookmarkStart w:id="26" w:name="participants"/>
    <w:p>
      <w:pPr>
        <w:pStyle w:val="Heading2"/>
      </w:pPr>
      <w:r>
        <w:t xml:space="preserve">Participants</w:t>
      </w:r>
    </w:p>
    <w:p>
      <w:pPr>
        <w:pStyle w:val="FirstParagraph"/>
      </w:pPr>
      <w:r>
        <w:t xml:space="preserve">124 undergraduate students responded (Mean age =</w:t>
      </w:r>
      <w:r>
        <w:t xml:space="preserve"> </w:t>
      </w:r>
      <w:r>
        <w:t xml:space="preserve">21.58, SD =</w:t>
      </w:r>
      <w:r>
        <w:t xml:space="preserve"> </w:t>
      </w:r>
      <w:r>
        <w:t xml:space="preserve">5.61). The students were given the</w:t>
      </w:r>
      <w:r>
        <w:t xml:space="preserve"> </w:t>
      </w:r>
      <w:r>
        <w:t xml:space="preserve">choice of 50 different majors to choose from, with the greatest</w:t>
      </w:r>
      <w:r>
        <w:t xml:space="preserve"> </w:t>
      </w:r>
      <w:r>
        <w:t xml:space="preserve">representation being Psychology at</w:t>
      </w:r>
      <w:r>
        <w:t xml:space="preserve"> </w:t>
      </w:r>
      <w:r>
        <w:t xml:space="preserve">38.71%, with a second largest group being</w:t>
      </w:r>
      <w:r>
        <w:t xml:space="preserve"> </w:t>
      </w:r>
      <w:r>
        <w:t xml:space="preserve">Construction majors (15.32%). When asked,</w:t>
      </w:r>
      <w:r>
        <w:t xml:space="preserve"> </w:t>
      </w:r>
      <w:r>
        <w:t xml:space="preserve">“Which context</w:t>
      </w:r>
      <w:r>
        <w:t xml:space="preserve"> </w:t>
      </w:r>
      <w:r>
        <w:t xml:space="preserve">did you have in mind as you responded to the statements in this</w:t>
      </w:r>
      <w:r>
        <w:t xml:space="preserve"> </w:t>
      </w:r>
      <w:r>
        <w:t xml:space="preserve">survey?”</w:t>
      </w:r>
      <w:r>
        <w:t xml:space="preserve">, 79.03% indicated</w:t>
      </w:r>
      <w:r>
        <w:t xml:space="preserve"> </w:t>
      </w:r>
      <w:r>
        <w:t xml:space="preserve">“school”</w:t>
      </w:r>
      <w:r>
        <w:t xml:space="preserve">,</w:t>
      </w:r>
      <w:r>
        <w:t xml:space="preserve"> </w:t>
      </w:r>
      <w:r>
        <w:t xml:space="preserve">12.9% indicated</w:t>
      </w:r>
      <w:r>
        <w:t xml:space="preserve"> </w:t>
      </w:r>
      <w:r>
        <w:t xml:space="preserve">“work”</w:t>
      </w:r>
      <w:r>
        <w:t xml:space="preserve">, and</w:t>
      </w:r>
      <w:r>
        <w:t xml:space="preserve"> </w:t>
      </w:r>
      <w:r>
        <w:t xml:space="preserve">7.26% stated</w:t>
      </w:r>
      <w:r>
        <w:t xml:space="preserve"> </w:t>
      </w:r>
      <w:r>
        <w:t xml:space="preserve">“other”</w:t>
      </w:r>
      <w:r>
        <w:t xml:space="preserve">.</w:t>
      </w:r>
    </w:p>
    <w:bookmarkEnd w:id="26"/>
    <w:bookmarkStart w:id="30"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w:t>
      </w:r>
      <w:r>
        <w:t xml:space="preserve"> </w:t>
      </w:r>
      <w:r>
        <w:t xml:space="preserve">perceive meaningful work in tasks co-generated by Microsoft 365 Copilot.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7" w:name="expertgenerated-items."/>
    <w:p>
      <w:pPr>
        <w:pStyle w:val="Heading3"/>
      </w:pPr>
      <w:r>
        <w:t xml:space="preserve">Expert–Generated Items.</w:t>
      </w:r>
    </w:p>
    <w:p>
      <w:pPr>
        <w:pStyle w:val="FirstParagraph"/>
      </w:pPr>
      <w:r>
        <w:t xml:space="preserve">Three of the researchers independently generated 6-8 items per</w:t>
      </w:r>
      <w:r>
        <w:t xml:space="preserve"> </w:t>
      </w:r>
      <w:r>
        <w:t xml:space="preserve">dimension. Combined lists of items were discussed by dimension, and the</w:t>
      </w:r>
      <w:r>
        <w:t xml:space="preserve"> </w:t>
      </w:r>
      <w:r>
        <w:t xml:space="preserve">initial list of 57 candidate items was reduced to</w:t>
      </w:r>
      <w:r>
        <w:t xml:space="preserve"> </w:t>
      </w:r>
      <w:r>
        <w:rPr>
          <w:i/>
          <w:iCs/>
        </w:rPr>
        <w:t xml:space="preserve">k</w:t>
      </w:r>
      <w:r>
        <w:t xml:space="preserve">=18 through</w:t>
      </w:r>
      <w:r>
        <w:t xml:space="preserve"> </w:t>
      </w:r>
      <w:r>
        <w:t xml:space="preserve">consensus evaluation of item clarity and content domain coverage.</w:t>
      </w:r>
    </w:p>
    <w:bookmarkEnd w:id="27"/>
    <w:bookmarkStart w:id="28" w:name="chatgpt-generated-items."/>
    <w:p>
      <w:pPr>
        <w:pStyle w:val="Heading3"/>
      </w:pPr>
      <w:r>
        <w:t xml:space="preserve">ChatGPT-Generated Items.</w:t>
      </w:r>
    </w:p>
    <w:p>
      <w:pPr>
        <w:pStyle w:val="FirstParagraph"/>
      </w:pPr>
      <w:r>
        <w:t xml:space="preserve">The following prompt was input into ChatGPT version: “I need your help</w:t>
      </w:r>
      <w:r>
        <w:t xml:space="preserve"> </w:t>
      </w:r>
      <w:r>
        <w:t xml:space="preserve">with generating a tentative list of survey items. I am reading the</w:t>
      </w:r>
      <w:r>
        <w:t xml:space="preserve"> </w:t>
      </w:r>
      <w:r>
        <w:t xml:space="preserve">attached paper for the third time. I am interested in the three AI user</w:t>
      </w:r>
      <w:r>
        <w:t xml:space="preserve"> </w:t>
      </w:r>
      <w:r>
        <w:t xml:space="preserve">ideal types and the survey items that could be generated to measure an</w:t>
      </w:r>
      <w:r>
        <w:t xml:space="preserve"> </w:t>
      </w:r>
      <w:r>
        <w:t xml:space="preserve">employee’s propensity toward one type or another.” Eight items were</w:t>
      </w:r>
      <w:r>
        <w:t xml:space="preserve"> </w:t>
      </w:r>
      <w:r>
        <w:t xml:space="preserve">generated per dimension, along with rationale for those item choices</w:t>
      </w:r>
      <w:r>
        <w:t xml:space="preserve"> </w:t>
      </w:r>
      <w:r>
        <w:t xml:space="preserve">(total</w:t>
      </w:r>
      <w:r>
        <w:t xml:space="preserve"> </w:t>
      </w:r>
      <w:r>
        <w:rPr>
          <w:i/>
          <w:iCs/>
        </w:rPr>
        <w:t xml:space="preserve">k</w:t>
      </w:r>
      <w:r>
        <w:t xml:space="preserve">=24).</w:t>
      </w:r>
    </w:p>
    <w:bookmarkEnd w:id="28"/>
    <w:bookmarkStart w:id="29" w:name="ai-genie-generated-items."/>
    <w:p>
      <w:pPr>
        <w:pStyle w:val="Heading3"/>
      </w:pPr>
      <w:r>
        <w:t xml:space="preserve">AI-GENIE-Generated Items.</w:t>
      </w:r>
    </w:p>
    <w:p>
      <w:pPr>
        <w:pStyle w:val="FirstParagraph"/>
      </w:pPr>
      <w:r>
        <w:t xml:space="preserve">AI-GENIE is a tool for automated item development and validation using</w:t>
      </w:r>
      <w:r>
        <w:t xml:space="preserve"> </w:t>
      </w:r>
      <w:r>
        <w:t xml:space="preserve">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w:t>
      </w:r>
      <w:r>
        <w:t xml:space="preserve"> </w:t>
      </w:r>
      <w:r>
        <w:t xml:space="preserve">are an expert scale developer and methodologist who writes high quality</w:t>
      </w:r>
      <w:r>
        <w:t xml:space="preserve"> </w:t>
      </w:r>
      <w:r>
        <w:t xml:space="preserve">and succinct (although with a use a 7th grade reading level) items based</w:t>
      </w:r>
      <w:r>
        <w:t xml:space="preserve"> </w:t>
      </w:r>
      <w:r>
        <w:t xml:space="preserve">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w:t>
      </w:r>
      <w:r>
        <w:t xml:space="preserve"> </w:t>
      </w:r>
      <w:r>
        <w:t xml:space="preserve">(1) – the Efficiency-Seeking Type – perceives AI as a straightforward</w:t>
      </w:r>
      <w:r>
        <w:t xml:space="preserve"> </w:t>
      </w:r>
      <w:r>
        <w:t xml:space="preserve">task-assistance tool, Ideal Type (2) – the Pragmatic Integrator Type –</w:t>
      </w:r>
      <w:r>
        <w:t xml:space="preserve"> </w:t>
      </w:r>
      <w:r>
        <w:t xml:space="preserve">views AI as a smarter assistant, and Ideal Type (3) – the Collaborative</w:t>
      </w:r>
      <w:r>
        <w:t xml:space="preserve"> </w:t>
      </w:r>
      <w:r>
        <w:t xml:space="preserve">Optimiser Type – considers AI an expert-like teammate.”</w:t>
      </w:r>
      <w:r>
        <w:t xml:space="preserve"> </w:t>
      </w:r>
      <w:r>
        <w:t xml:space="preserve">Definitions of</w:t>
      </w:r>
      <w:r>
        <w:t xml:space="preserve"> </w:t>
      </w:r>
      <w:r>
        <w:t xml:space="preserve">all three of the above dimensions, as well as example descriptors were</w:t>
      </w:r>
      <w:r>
        <w:t xml:space="preserve"> </w:t>
      </w:r>
      <w:r>
        <w:t xml:space="preserve">provided as part of the prompt. Thirty items were initially generated.</w:t>
      </w:r>
      <w:r>
        <w:t xml:space="preserve"> </w:t>
      </w:r>
      <w:r>
        <w:t xml:space="preserve">Combined lists of items were discussed by the researchers by dimension,</w:t>
      </w:r>
      <w:r>
        <w:t xml:space="preserve"> </w:t>
      </w:r>
      <w:r>
        <w:t xml:space="preserve">and the most unique and clearly-written items were retained for the</w:t>
      </w:r>
      <w:r>
        <w:t xml:space="preserve"> </w:t>
      </w:r>
      <w:r>
        <w:t xml:space="preserve">survey (total</w:t>
      </w:r>
      <w:r>
        <w:t xml:space="preserve"> </w:t>
      </w:r>
      <w:r>
        <w:rPr>
          <w:i/>
          <w:iCs/>
        </w:rPr>
        <w:t xml:space="preserve">k</w:t>
      </w:r>
      <w:r>
        <w:t xml:space="preserve">=21). All study items, prompts, and materials are available on a publicly accessible repository [hidden for blind review].</w:t>
      </w:r>
    </w:p>
    <w:bookmarkEnd w:id="29"/>
    <w:bookmarkEnd w:id="30"/>
    <w:bookmarkEnd w:id="31"/>
    <w:bookmarkStart w:id="35" w:name="results"/>
    <w:p>
      <w:pPr>
        <w:pStyle w:val="Heading1"/>
      </w:pPr>
      <w:r>
        <w:t xml:space="preserve">Results</w:t>
      </w:r>
    </w:p>
    <w:bookmarkStart w:id="33" w:name="traditional-analyses"/>
    <w:p>
      <w:pPr>
        <w:pStyle w:val="Heading2"/>
      </w:pPr>
      <w:r>
        <w:t xml:space="preserve">Traditional Analyses</w:t>
      </w:r>
    </w:p>
    <w:p>
      <w:pPr>
        <w:pStyle w:val="FirstParagraph"/>
      </w:pPr>
      <w:r>
        <w:t xml:space="preserve">Inter–scale correlations as well as scale means and standard deviations</w:t>
      </w:r>
      <w:r>
        <w:t xml:space="preserve"> </w:t>
      </w:r>
      <w:r>
        <w:t xml:space="preserve">are presented in</w:t>
      </w:r>
      <w:r>
        <w:t xml:space="preserve"> </w:t>
      </w:r>
      <w:hyperlink w:anchor="tbl-corrs">
        <w:r>
          <w:rPr>
            <w:rStyle w:val="Hyperlink"/>
          </w:rPr>
          <w:t xml:space="preserve">Table 2</w:t>
        </w:r>
      </w:hyperlink>
      <w:r>
        <w:t xml:space="preserve">. Here, the Efficiency Seeking</w:t>
      </w:r>
      <w:r>
        <w:t xml:space="preserve"> </w:t>
      </w:r>
      <w:r>
        <w:t xml:space="preserve">scales exhibit the least intra–dimension agreement (correlations across</w:t>
      </w:r>
      <w:r>
        <w:t xml:space="preserve"> </w:t>
      </w:r>
      <w:r>
        <w:t xml:space="preserve">item–generation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w:t>
      </w:r>
      <w:r>
        <w:t xml:space="preserve"> </w:t>
      </w:r>
      <w:r>
        <w:t xml:space="preserve">Collaborative Optimiser scales exhibited consistently higher</w:t>
      </w:r>
      <w:r>
        <w:t xml:space="preserve"> </w:t>
      </w:r>
      <w:r>
        <w:t xml:space="preserve">intra–dimension associations (ranging from a low of</w:t>
      </w:r>
      <w:r>
        <w:t xml:space="preserve"> </w:t>
      </w:r>
      <m:oMath>
        <m:sSub>
          <m:e>
            <m:r>
              <m:t>r</m:t>
            </m:r>
          </m:e>
          <m:sub>
            <m:r>
              <m:t>G</m:t>
            </m:r>
            <m:r>
              <m:t>e</m:t>
            </m:r>
            <m:r>
              <m:t>n</m:t>
            </m:r>
            <m:r>
              <m:t>i</m:t>
            </m:r>
            <m:r>
              <m:t>e</m:t>
            </m:r>
            <m:r>
              <m:rPr>
                <m:sty m:val="p"/>
              </m:rPr>
              <m:t>(</m:t>
            </m:r>
            <m:r>
              <m:t>C</m:t>
            </m:r>
            <m:r>
              <m:t>O</m:t>
            </m:r>
            <m:r>
              <m:rPr>
                <m:sty m:val="p"/>
              </m:rPr>
              <m:t>)</m:t>
            </m:r>
            <m:r>
              <m:rPr>
                <m:sty m:val="p"/>
              </m:rPr>
              <m:t>−</m:t>
            </m:r>
            <m:r>
              <m:t>S</m:t>
            </m:r>
            <m:r>
              <m:t>M</m:t>
            </m:r>
            <m:r>
              <m:t>E</m:t>
            </m:r>
            <m:r>
              <m:rPr>
                <m:sty m:val="p"/>
              </m:rPr>
              <m:t>(</m:t>
            </m:r>
            <m:r>
              <m:t>C</m:t>
            </m:r>
            <m:r>
              <m:t>O</m:t>
            </m:r>
            <m:r>
              <m:rPr>
                <m:sty m:val="p"/>
              </m:rPr>
              <m:t>)</m:t>
            </m:r>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r>
              <m:rPr>
                <m:sty m:val="p"/>
              </m:rPr>
              <m:t>(</m:t>
            </m:r>
            <m:r>
              <m:t>P</m:t>
            </m:r>
            <m:r>
              <m:t>I</m:t>
            </m:r>
            <m:r>
              <m:rPr>
                <m:sty m:val="p"/>
              </m:rPr>
              <m:t>)</m:t>
            </m:r>
            <m:r>
              <m:rPr>
                <m:sty m:val="p"/>
              </m:rPr>
              <m:t>−</m:t>
            </m:r>
            <m:r>
              <m:t>S</m:t>
            </m:r>
            <m:r>
              <m:t>M</m:t>
            </m:r>
            <m:r>
              <m:t>E</m:t>
            </m:r>
            <m:r>
              <m:rPr>
                <m:sty m:val="p"/>
              </m:rPr>
              <m:t>(</m:t>
            </m:r>
            <m:r>
              <m:t>P</m:t>
            </m:r>
            <m:r>
              <m:t>I</m:t>
            </m:r>
            <m:r>
              <m:rPr>
                <m:sty m:val="p"/>
              </m:rPr>
              <m:t>)</m:t>
            </m:r>
          </m:sub>
        </m:sSub>
      </m:oMath>
      <w:r>
        <w:t xml:space="preserve"> </w:t>
      </w:r>
      <w:r>
        <w:t xml:space="preserve">= .84,</w:t>
      </w:r>
      <w:r>
        <w:t xml:space="preserve"> </w:t>
      </w:r>
      <w:r>
        <w:rPr>
          <w:i/>
          <w:iCs/>
        </w:rPr>
        <w:t xml:space="preserve">p</w:t>
      </w:r>
      <w:r>
        <w:t xml:space="preserve"> </w:t>
      </w:r>
      <w:r>
        <w:t xml:space="preserve">&lt; .001).</w:t>
      </w:r>
      <w:r>
        <w:t xml:space="preserve"> </w:t>
      </w:r>
      <w:r>
        <w:rPr>
          <w:i/>
          <w:iCs/>
        </w:rPr>
        <w:t xml:space="preserve">Lack</w:t>
      </w:r>
      <w:r>
        <w:t xml:space="preserve"> </w:t>
      </w:r>
      <w:r>
        <w:t xml:space="preserve">of association with</w:t>
      </w:r>
      <w:r>
        <w:t xml:space="preserve"> </w:t>
      </w:r>
      <w:r>
        <w:t xml:space="preserve">“other”</w:t>
      </w:r>
      <w:r>
        <w:t xml:space="preserve"> </w:t>
      </w:r>
      <w:r>
        <w:t xml:space="preserve">scale dimensions was most prominent with the Efficiency Seeking</w:t>
      </w:r>
      <w:r>
        <w:t xml:space="preserve"> </w:t>
      </w:r>
      <w:r>
        <w:t xml:space="preserve">scales, particularly so for the ChatGPT developed scale (and to a lesser</w:t>
      </w:r>
      <w:r>
        <w:t xml:space="preserve"> </w:t>
      </w:r>
      <w:r>
        <w:t xml:space="preserve">degree, the SME–derived scale; e.g., the average magnitude of</w:t>
      </w:r>
      <w:r>
        <w:t xml:space="preserve"> </w:t>
      </w:r>
      <w:r>
        <w:t xml:space="preserve">correlation was</w:t>
      </w:r>
      <w:r>
        <w:t xml:space="preserve"> </w:t>
      </w:r>
      <w:r>
        <w:rPr>
          <w:i/>
          <w:iCs/>
        </w:rPr>
        <w:t xml:space="preserve">smallest</w:t>
      </w:r>
      <w:r>
        <w:t xml:space="preserve">).</w:t>
      </w:r>
    </w:p>
    <w:p>
      <w:pPr>
        <w:pStyle w:val="BodyText"/>
      </w:pPr>
      <w:r>
        <w:t xml:space="preserve">Individual scale alphas were predominantly within the .8 to .9 range,</w:t>
      </w:r>
      <w:r>
        <w:t xml:space="preserve"> </w:t>
      </w:r>
      <w:r>
        <w:t xml:space="preserve">although two scales exhibited suppressed values (the ChatGPT Efficiency</w:t>
      </w:r>
      <w:r>
        <w:t xml:space="preserve"> </w:t>
      </w:r>
      <w:r>
        <w:t xml:space="preserve">Seeking scale</w:t>
      </w:r>
      <w:r>
        <w:t xml:space="preserve"> </w:t>
      </w:r>
      <m:oMath>
        <m:r>
          <m:t>α</m:t>
        </m:r>
      </m:oMath>
      <w:r>
        <w:t xml:space="preserve"> </w:t>
      </w:r>
      <w:r>
        <w:t xml:space="preserve">= .69 and the SME Efficiency Seeking scale</w:t>
      </w:r>
      <w:r>
        <w:t xml:space="preserve"> </w:t>
      </w:r>
      <m:oMath>
        <m:r>
          <m:t>α</m:t>
        </m:r>
      </m:oMath>
      <w:r>
        <w:t xml:space="preserve"> </w:t>
      </w:r>
      <w:r>
        <w:t xml:space="preserve">= .59). Note that: 1) these are the two scales that also</w:t>
      </w:r>
      <w:r>
        <w:t xml:space="preserve"> </w:t>
      </w:r>
      <w:r>
        <w:t xml:space="preserve">exhibited the lowest average inter–scale associations (see</w:t>
      </w:r>
      <w:r>
        <w:t xml:space="preserve"> </w:t>
      </w:r>
      <w:hyperlink w:anchor="tbl-corrs">
        <w:r>
          <w:rPr>
            <w:rStyle w:val="Hyperlink"/>
          </w:rPr>
          <w:t xml:space="preserve">Table 2</w:t>
        </w:r>
      </w:hyperlink>
      <w:r>
        <w:t xml:space="preserve">),</w:t>
      </w:r>
      <w:r>
        <w:t xml:space="preserve"> </w:t>
      </w:r>
      <w:r>
        <w:t xml:space="preserve">and 2) the numbers of items differed across scales (</w:t>
      </w:r>
      <w:r>
        <w:rPr>
          <w:i/>
          <w:iCs/>
        </w:rPr>
        <w:t xml:space="preserve">k</w:t>
      </w:r>
      <w:r>
        <w:rPr>
          <w:i/>
          <w:iCs/>
          <w:vertAlign w:val="subscript"/>
        </w:rPr>
        <w:t xml:space="preserve">ChatGPT</w:t>
      </w:r>
      <w:r>
        <w:t xml:space="preserve"> </w:t>
      </w:r>
      <w:r>
        <w:t xml:space="preserve">= 6,</w:t>
      </w:r>
      <w:r>
        <w:t xml:space="preserve"> </w:t>
      </w:r>
      <w:r>
        <w:rPr>
          <w:i/>
          <w:iCs/>
        </w:rPr>
        <w:t xml:space="preserve">k</w:t>
      </w:r>
      <w:r>
        <w:rPr>
          <w:i/>
          <w:iCs/>
          <w:vertAlign w:val="subscript"/>
        </w:rPr>
        <w:t xml:space="preserve">SME</w:t>
      </w:r>
      <w:r>
        <w:t xml:space="preserve"> </w:t>
      </w:r>
      <w:r>
        <w:t xml:space="preserve">= 7, and</w:t>
      </w:r>
      <w:r>
        <w:t xml:space="preserve"> </w:t>
      </w:r>
      <w:r>
        <w:rPr>
          <w:i/>
          <w:iCs/>
        </w:rPr>
        <w:t xml:space="preserve">k</w:t>
      </w:r>
      <w:r>
        <w:rPr>
          <w:i/>
          <w:iCs/>
          <w:vertAlign w:val="subscript"/>
        </w:rPr>
        <w:t xml:space="preserve">AI–Genie</w:t>
      </w:r>
      <w:r>
        <w:t xml:space="preserve"> </w:t>
      </w:r>
      <w:r>
        <w:t xml:space="preserve">= 8). All scale</w:t>
      </w:r>
      <w:r>
        <w:t xml:space="preserve"> </w:t>
      </w:r>
      <m:oMath>
        <m:r>
          <m:t>α</m:t>
        </m:r>
      </m:oMath>
      <w:r>
        <w:t xml:space="preserve">’s are</w:t>
      </w:r>
      <w:r>
        <w:t xml:space="preserve"> </w:t>
      </w:r>
      <w:r>
        <w:t xml:space="preserve">presented in</w:t>
      </w:r>
      <w:r>
        <w:t xml:space="preserve"> </w:t>
      </w:r>
      <w:hyperlink w:anchor="tbl-alphas">
        <w:r>
          <w:rPr>
            <w:rStyle w:val="Hyperlink"/>
          </w:rPr>
          <w:t xml:space="preserve">Table 1</w:t>
        </w:r>
      </w:hyperlink>
    </w:p>
    <w:p>
      <w:pPr>
        <w:pStyle w:val="BodyText"/>
      </w:pPr>
      <w:r>
        <w:t xml:space="preserve">Exploratory factor analyses (EFAs) were also conducted within item sets. One–, two–,</w:t>
      </w:r>
      <w:r>
        <w:t xml:space="preserve"> </w:t>
      </w:r>
      <w:r>
        <w:t xml:space="preserve">and three–factor solutions were estimated for each item set using</w:t>
      </w:r>
      <w:r>
        <w:t xml:space="preserve"> </w:t>
      </w:r>
      <w:r>
        <w:t xml:space="preserve">maximum likelihood estimation and an oblique Quartimin rotation.</w:t>
      </w:r>
      <w:r>
        <w:t xml:space="preserve"> </w:t>
      </w:r>
      <w:r>
        <w:t xml:space="preserve">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w:t>
      </w:r>
      <w:r>
        <w:t xml:space="preserve"> </w:t>
      </w:r>
      <w:r>
        <w:t xml:space="preserve">multiple indicators. The results presented here focus only on the</w:t>
      </w:r>
      <w:r>
        <w:t xml:space="preserve"> </w:t>
      </w:r>
      <w:r>
        <w:t xml:space="preserve">three–factor models.</w:t>
      </w:r>
    </w:p>
    <w:p>
      <w:pPr>
        <w:pStyle w:val="BodyText"/>
      </w:pPr>
      <w:r>
        <w:t xml:space="preserve">The three-factor model for the ChatGPT-Generated items returned the</w:t>
      </w:r>
      <w:r>
        <w:t xml:space="preserve"> </w:t>
      </w:r>
      <w:r>
        <w:t xml:space="preserve">weakest structural evidence (χ²(207) = 347.09,</w:t>
      </w:r>
      <w:r>
        <w:t xml:space="preserve"> </w:t>
      </w:r>
      <w:r>
        <w:rPr>
          <w:i/>
          <w:iCs/>
        </w:rPr>
        <w:t xml:space="preserve">p</w:t>
      </w:r>
      <w:r>
        <w:t xml:space="preserve"> </w:t>
      </w:r>
      <w:r>
        <w:t xml:space="preserve">&lt; .001, RMSEA =</w:t>
      </w:r>
      <w:r>
        <w:t xml:space="preserve"> </w:t>
      </w:r>
      <w:r>
        <w:t xml:space="preserve">.084, 90% CI [.068, .099], CFI = .879, TLI = .838, and SRMR = .053).</w:t>
      </w:r>
      <w:r>
        <w:t xml:space="preserve"> </w:t>
      </w:r>
      <w:r>
        <w:t xml:space="preserve">Factors 1 and 2 were significantly correlated (r** = .48,</w:t>
      </w:r>
      <w:r>
        <w:t xml:space="preserve"> </w:t>
      </w:r>
      <w:r>
        <w:rPr>
          <w:i/>
          <w:iCs/>
        </w:rPr>
        <w:t xml:space="preserve">p</w:t>
      </w:r>
      <w:r>
        <w:t xml:space="preserve"> </w:t>
      </w:r>
      <w:r>
        <w:t xml:space="preserve">&lt; .05),</w:t>
      </w:r>
      <w:r>
        <w:t xml:space="preserve"> </w:t>
      </w:r>
      <w:r>
        <w:t xml:space="preserve">while Factor 3 was did not have a significant correlation with Factor 1</w:t>
      </w:r>
      <w:r>
        <w:t xml:space="preserve"> </w:t>
      </w:r>
      <w:r>
        <w:t xml:space="preserve">(</w:t>
      </w:r>
      <w:r>
        <w:rPr>
          <w:i/>
          <w:iCs/>
        </w:rPr>
        <w:t xml:space="preserve">r</w:t>
      </w:r>
      <w:r>
        <w:t xml:space="preserve"> </w:t>
      </w:r>
      <w:r>
        <w:t xml:space="preserve">= -.03) or Factor 2 (</w:t>
      </w:r>
      <w:r>
        <w:rPr>
          <w:i/>
          <w:iCs/>
        </w:rPr>
        <w:t xml:space="preserve">r</w:t>
      </w:r>
      <w:r>
        <w:t xml:space="preserve"> </w:t>
      </w:r>
      <w:r>
        <w:t xml:space="preserve">= -.15). Visual representation of loadings</w:t>
      </w:r>
      <w:r>
        <w:t xml:space="preserve"> </w:t>
      </w:r>
      <w:r>
        <w:t xml:space="preserve">is presented in</w:t>
      </w:r>
      <w:r>
        <w:t xml:space="preserve"> </w:t>
      </w:r>
      <w:hyperlink w:anchor="fig-net-gpt">
        <w:r>
          <w:rPr>
            <w:rStyle w:val="Hyperlink"/>
          </w:rPr>
          <w:t xml:space="preserve">Figure 1</w:t>
        </w:r>
      </w:hyperlink>
      <w:r>
        <w:t xml:space="preserve">.</w:t>
      </w:r>
      <w:r>
        <w:rPr>
          <w:rStyle w:val="FootnoteReference"/>
        </w:rPr>
        <w:footnoteReference w:id="32"/>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w:t>
      </w:r>
      <w:r>
        <w:t xml:space="preserve"> </w:t>
      </w:r>
      <w:r>
        <w:rPr>
          <w:i/>
          <w:iCs/>
        </w:rPr>
        <w:t xml:space="preserve">p</w:t>
      </w:r>
      <w:r>
        <w:t xml:space="preserve"> </w:t>
      </w:r>
      <w:r>
        <w:t xml:space="preserve">= .034, RMSEA = .048, 90% CI [.015, .071], CFI =</w:t>
      </w:r>
      <w:r>
        <w:t xml:space="preserve"> </w:t>
      </w:r>
      <w:r>
        <w:t xml:space="preserve">.962, TLI = .947, and SRMR = .050. All three factors were significantly</w:t>
      </w:r>
      <w:r>
        <w:t xml:space="preserve"> </w:t>
      </w:r>
      <w:r>
        <w:t xml:space="preserve">correlated at the 5% level threshold (</w:t>
      </w:r>
      <w:r>
        <w:rPr>
          <w:i/>
          <w:iCs/>
        </w:rPr>
        <w:t xml:space="preserve">p</w:t>
      </w:r>
      <w:r>
        <w:t xml:space="preserve"> </w:t>
      </w:r>
      <w:r>
        <w:t xml:space="preserve">&lt; .05) . Factor 1 correlated</w:t>
      </w:r>
      <w:r>
        <w:t xml:space="preserve"> </w:t>
      </w:r>
      <w:r>
        <w:t xml:space="preserve">.44 with Factor 2 and .64 with Factor 3, while Factors 2 and 3</w:t>
      </w:r>
      <w:r>
        <w:t xml:space="preserve"> </w:t>
      </w:r>
      <w:r>
        <w:t xml:space="preserve">correlated .46. Overall, the three-factor model provided strong fit,</w:t>
      </w:r>
      <w:r>
        <w:t xml:space="preserve"> </w:t>
      </w:r>
      <w:r>
        <w:t xml:space="preserve">although the like the AI–GENIE items, loadings did not create three</w:t>
      </w:r>
      <w:r>
        <w:t xml:space="preserve"> </w:t>
      </w:r>
      <w:r>
        <w:t xml:space="preserve">distinct item groupings (see</w:t>
      </w:r>
      <w:r>
        <w:t xml:space="preserve"> </w:t>
      </w:r>
      <w:hyperlink w:anchor="fig-net-sme">
        <w:r>
          <w:rPr>
            <w:rStyle w:val="Hyperlink"/>
          </w:rPr>
          <w:t xml:space="preserve">Figure 2</w:t>
        </w:r>
      </w:hyperlink>
      <w:r>
        <w:t xml:space="preserve">).</w:t>
      </w:r>
    </w:p>
    <w:p>
      <w:pPr>
        <w:pStyle w:val="BodyText"/>
      </w:pPr>
      <w:r>
        <w:t xml:space="preserve">The AI-GENIE-generated items demonstrated fair fit to the three–factor</w:t>
      </w:r>
      <w:r>
        <w:t xml:space="preserve"> </w:t>
      </w:r>
      <w:r>
        <w:t xml:space="preserve">solution, χ²(150) = 207.64,</w:t>
      </w:r>
      <w:r>
        <w:t xml:space="preserve"> </w:t>
      </w:r>
      <w:r>
        <w:rPr>
          <w:i/>
          <w:iCs/>
        </w:rPr>
        <w:t xml:space="preserve">p</w:t>
      </w:r>
      <w:r>
        <w:t xml:space="preserve"> </w:t>
      </w:r>
      <w:r>
        <w:t xml:space="preserve">= .001, RMSEA = .064, 90% CI [.041,</w:t>
      </w:r>
      <w:r>
        <w:t xml:space="preserve"> </w:t>
      </w:r>
      <w:r>
        <w:t xml:space="preserve">.084], CFI = .960, TLI = .944, and SRMR = .036. Item loading patterns</w:t>
      </w:r>
      <w:r>
        <w:t xml:space="preserve"> </w:t>
      </w:r>
      <w:r>
        <w:t xml:space="preserve">provided partial support, with several non–hypothesized associations</w:t>
      </w:r>
      <w:r>
        <w:t xml:space="preserve"> </w:t>
      </w:r>
      <w:r>
        <w:t xml:space="preserve">and substantive cross–loadings (see</w:t>
      </w:r>
      <w:r>
        <w:t xml:space="preserve"> </w:t>
      </w:r>
      <w:hyperlink w:anchor="fig-net-genie">
        <w:r>
          <w:rPr>
            <w:rStyle w:val="Hyperlink"/>
          </w:rPr>
          <w:t xml:space="preserve">Figure 3</w:t>
        </w:r>
      </w:hyperlink>
      <w:r>
        <w:t xml:space="preserve"> </w:t>
      </w:r>
      <w:r>
        <w:t xml:space="preserve">for a visual</w:t>
      </w:r>
      <w:r>
        <w:t xml:space="preserve"> </w:t>
      </w:r>
      <w:r>
        <w:t xml:space="preserve">representation)[^1]. Factors 1 and 2 exhibited a significant correlation</w:t>
      </w:r>
      <w:r>
        <w:t xml:space="preserve"> </w:t>
      </w:r>
      <w:r>
        <w:t xml:space="preserve">(r = .76,</w:t>
      </w:r>
      <w:r>
        <w:t xml:space="preserve"> </w:t>
      </w:r>
      <w:r>
        <w:rPr>
          <w:i/>
          <w:iCs/>
        </w:rPr>
        <w:t xml:space="preserve">p</w:t>
      </w:r>
      <w:r>
        <w:t xml:space="preserve"> </w:t>
      </w:r>
      <w:r>
        <w:t xml:space="preserve">&lt; .05), whereas the correlations of Factor 3 with Factors</w:t>
      </w:r>
      <w:r>
        <w:t xml:space="preserve"> </w:t>
      </w:r>
      <w:r>
        <w:t xml:space="preserve">1 (</w:t>
      </w:r>
      <w:r>
        <w:rPr>
          <w:i/>
          <w:iCs/>
        </w:rPr>
        <w:t xml:space="preserve">r</w:t>
      </w:r>
      <w:r>
        <w:t xml:space="preserve"> </w:t>
      </w:r>
      <w:r>
        <w:t xml:space="preserve">= .30) and 2 (</w:t>
      </w:r>
      <w:r>
        <w:rPr>
          <w:i/>
          <w:iCs/>
        </w:rPr>
        <w:t xml:space="preserve">r</w:t>
      </w:r>
      <w:r>
        <w:t xml:space="preserve"> </w:t>
      </w:r>
      <w:r>
        <w:t xml:space="preserve">= .29) did not approach statistical</w:t>
      </w:r>
      <w:r>
        <w:t xml:space="preserve"> </w:t>
      </w:r>
      <w:r>
        <w:t xml:space="preserve">significance. Overall, the three-factor model demonstrated relatively</w:t>
      </w:r>
      <w:r>
        <w:t xml:space="preserve"> </w:t>
      </w:r>
      <w:r>
        <w:t xml:space="preserve">good fit, the loading pattern suggests two somewhat clear factors with</w:t>
      </w:r>
      <w:r>
        <w:t xml:space="preserve"> </w:t>
      </w:r>
      <w:r>
        <w:t xml:space="preserve">item cross loadings and an ambiguous third factor.</w:t>
      </w:r>
    </w:p>
    <w:p>
      <w:pPr>
        <w:pStyle w:val="BodyText"/>
      </w:pPr>
      <w:r>
        <w:t xml:space="preserve">Taken together, these results point toward the ChatGPT–generated items</w:t>
      </w:r>
      <w:r>
        <w:t xml:space="preserve"> </w:t>
      </w:r>
      <w:r>
        <w:t xml:space="preserve">as exhibiting the weakest traditional (empirical) evidence, with the</w:t>
      </w:r>
      <w:r>
        <w:t xml:space="preserve"> </w:t>
      </w:r>
      <w:r>
        <w:t xml:space="preserve">observed structure largely not conforming to the theoretical</w:t>
      </w:r>
      <w:r>
        <w:t xml:space="preserve"> </w:t>
      </w:r>
      <w:r>
        <w:t xml:space="preserve">associations. Additionally, the ChatGPT-generated items demonstrated</w:t>
      </w:r>
      <w:r>
        <w:t xml:space="preserve"> </w:t>
      </w:r>
      <w:r>
        <w:t xml:space="preserve">worse model fit than the corresponding SME and AI–GENIE item sets, although</w:t>
      </w:r>
      <w:r>
        <w:t xml:space="preserve"> </w:t>
      </w:r>
      <w:r>
        <w:rPr>
          <w:i/>
          <w:iCs/>
        </w:rPr>
        <w:t xml:space="preserve">none</w:t>
      </w:r>
      <w:r>
        <w:t xml:space="preserve"> </w:t>
      </w:r>
      <w:r>
        <w:t xml:space="preserve">of the approaches satisfactorily converged on hypothesized associations (e.g., all extracted solutions exhibited a greater–than–desired number of cross–loadings and/or non–hypothesized item–dimension associations).</w:t>
      </w:r>
    </w:p>
    <w:bookmarkEnd w:id="33"/>
    <w:bookmarkStart w:id="34" w:name="network-psychometric-analyses"/>
    <w:p>
      <w:pPr>
        <w:pStyle w:val="Heading2"/>
      </w:pPr>
      <w:r>
        <w:t xml:space="preserve">Network Psychometric Analyses</w:t>
      </w:r>
    </w:p>
    <w:p>
      <w:pPr>
        <w:pStyle w:val="FirstParagraph"/>
      </w:pPr>
      <w:r>
        <w:t xml:space="preserve">Network Psychometrics has provided not merely a newer philosophical lens on psychological measurement, but it has also introduced novel empirical procedures</w:t>
      </w:r>
      <w:r>
        <w:t xml:space="preserve"> </w:t>
      </w:r>
      <w:r>
        <w:t xml:space="preserve">(</w:t>
      </w:r>
      <w:hyperlink w:anchor="ref-borsboom2022possible">
        <w:r>
          <w:rPr>
            <w:rStyle w:val="Hyperlink"/>
          </w:rPr>
          <w:t xml:space="preserve">Borsboom, 2022</w:t>
        </w:r>
      </w:hyperlink>
      <w:r>
        <w:t xml:space="preserve">;</w:t>
      </w:r>
      <w:r>
        <w:t xml:space="preserve"> </w:t>
      </w:r>
      <w:hyperlink w:anchor="ref-borsboom2013network">
        <w:r>
          <w:rPr>
            <w:rStyle w:val="Hyperlink"/>
          </w:rPr>
          <w:t xml:space="preserve">Borsboom &amp; Cramer, 2013</w:t>
        </w:r>
      </w:hyperlink>
      <w:r>
        <w:t xml:space="preserve">;</w:t>
      </w:r>
      <w:r>
        <w:t xml:space="preserve"> </w:t>
      </w:r>
      <w:hyperlink w:anchor="ref-epskamp2018network">
        <w:r>
          <w:rPr>
            <w:rStyle w:val="Hyperlink"/>
          </w:rPr>
          <w:t xml:space="preserve">Epskamp et al., 2018</w:t>
        </w:r>
      </w:hyperlink>
      <w:r>
        <w:t xml:space="preserve">)</w:t>
      </w:r>
      <w:r>
        <w:t xml:space="preserve">. Exploratory graph analysis (EGA) is a procedure that, similar to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pPr>
        <w:pStyle w:val="BodyText"/>
      </w:pPr>
      <w:r>
        <w:t xml:space="preserve">Exploratory Graph Analyses do not specify factors in advance. Instead</w:t>
      </w:r>
      <w:r>
        <w:t xml:space="preserve"> </w:t>
      </w:r>
      <w:r>
        <w:t xml:space="preserve">they estimate a network directly among items via semantic association,</w:t>
      </w:r>
      <w:r>
        <w:t xml:space="preserve"> </w:t>
      </w:r>
      <w:r>
        <w:t xml:space="preserve">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w:t>
      </w:r>
      <w:r>
        <w:t xml:space="preserve"> </w:t>
      </w:r>
      <w:r>
        <w:t xml:space="preserve">and</w:t>
      </w:r>
      <w:r>
        <w:t xml:space="preserve"> </w:t>
      </w:r>
      <w:hyperlink w:anchor="fig-ega-genie">
        <w:r>
          <w:rPr>
            <w:rStyle w:val="Hyperlink"/>
          </w:rPr>
          <w:t xml:space="preserve">Figure 6</w:t>
        </w:r>
      </w:hyperlink>
      <w:r>
        <w:t xml:space="preserve">. Each line is a regularized partial correlation</w:t>
      </w:r>
      <w:r>
        <w:t xml:space="preserve"> </w:t>
      </w:r>
      <w:r>
        <w:t xml:space="preserve">(EBICglasso; the relationship between two items after</w:t>
      </w:r>
      <w:r>
        <w:t xml:space="preserve"> </w:t>
      </w:r>
      <w:r>
        <w:t xml:space="preserve">controlling for all other items). Thicker lines are stronger</w:t>
      </w:r>
      <w:r>
        <w:t xml:space="preserve"> </w:t>
      </w:r>
      <w:r>
        <w:t xml:space="preserve">associations, and the line color reflects whether the association is</w:t>
      </w:r>
      <w:r>
        <w:t xml:space="preserve"> </w:t>
      </w:r>
      <w:r>
        <w:t xml:space="preserve">positive or negative. Weak relationships are assigned a value of zero and dropped.</w:t>
      </w:r>
      <w:r>
        <w:t xml:space="preserve"> </w:t>
      </w:r>
      <w:r>
        <w:t xml:space="preserve">The Walktrap algorithm then detects communities: groups of items that</w:t>
      </w:r>
      <w:r>
        <w:t xml:space="preserve"> </w:t>
      </w:r>
      <w:r>
        <w:t xml:space="preserve">are more tightly connected to each other than to the rest of the</w:t>
      </w:r>
      <w:r>
        <w:t xml:space="preserve"> </w:t>
      </w:r>
      <w:r>
        <w:t xml:space="preserve">network. Unlike the EFA plots, the node colors here mark these</w:t>
      </w:r>
      <w:r>
        <w:t xml:space="preserve"> </w:t>
      </w:r>
      <w:r>
        <w:t xml:space="preserve">semantically detected communities, not the intended subscales. The number</w:t>
      </w:r>
      <w:r>
        <w:t xml:space="preserve"> </w:t>
      </w:r>
      <w:r>
        <w:t xml:space="preserve">of communities is the EGA estimate of the dimensionality of each item</w:t>
      </w:r>
      <w:r>
        <w:t xml:space="preserve"> </w:t>
      </w:r>
      <w:r>
        <w:t xml:space="preserve">set.</w:t>
      </w:r>
    </w:p>
    <w:bookmarkEnd w:id="34"/>
    <w:bookmarkEnd w:id="35"/>
    <w:bookmarkStart w:id="38" w:name="discussion"/>
    <w:p>
      <w:pPr>
        <w:pStyle w:val="Heading1"/>
      </w:pPr>
      <w:r>
        <w:t xml:space="preserve">Discussion</w:t>
      </w:r>
    </w:p>
    <w:p>
      <w:pPr>
        <w:pStyle w:val="FirstParagraph"/>
      </w:pPr>
      <w:r>
        <w:t xml:space="preserve">The purpose of this study was twofold: 1) to create a measure of AI adopter</w:t>
      </w:r>
      <w:r>
        <w:t xml:space="preserve"> </w:t>
      </w:r>
      <w:r>
        <w:rPr>
          <w:i/>
          <w:iCs/>
        </w:rPr>
        <w:t xml:space="preserve">type</w:t>
      </w:r>
      <w:r>
        <w:t xml:space="preserve"> </w:t>
      </w:r>
      <w:r>
        <w:t xml:space="preserve">consistent with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trichotomy, and 2) to compare approaches to developing items,</w:t>
      </w:r>
      <w:r>
        <w:t xml:space="preserve"> </w:t>
      </w:r>
      <w:r>
        <w:t xml:space="preserve">both at the item development stage (3 methods) and also at the structural evaluation stage (traditional and network psychometric analyses). The first research question asked whether one instrument development procedure (ChatGPT, AI–GENIE, or SMEs) yeilds a more coherent structure than others. The second research question asked whether a combination of traditional and contemporary analyses provides a richer understanding of scale structure than does either approach alone.</w:t>
      </w:r>
    </w:p>
    <w:p>
      <w:pPr>
        <w:pStyle w:val="BodyText"/>
      </w:pPr>
      <w:r>
        <w:t xml:space="preserve">All three item–generation procedures did produce items that, upon author review, were consistent with the theoretical conceptualizations of AI adopter type.</w:t>
      </w:r>
      <w:r>
        <w:t xml:space="preserve"> </w:t>
      </w:r>
      <w:r>
        <w:t xml:space="preserve">The results of the traditional analyses suggest the SME–generated</w:t>
      </w:r>
      <w:r>
        <w:t xml:space="preserve"> </w:t>
      </w:r>
      <w:r>
        <w:t xml:space="preserve">items demonstrated the best fit, followed by AI-GENIE and then ChatGPT.</w:t>
      </w:r>
      <w:r>
        <w:t xml:space="preserve"> </w:t>
      </w:r>
      <w:r>
        <w:t xml:space="preserve">However, none of the item sets loaded cleanly as expected within</w:t>
      </w:r>
      <w:r>
        <w:t xml:space="preserve"> </w:t>
      </w:r>
      <w:r>
        <w:rPr>
          <w:i/>
          <w:iCs/>
        </w:rPr>
        <w:t xml:space="preserve">a priori</w:t>
      </w:r>
      <w:r>
        <w:t xml:space="preserve"> </w:t>
      </w:r>
      <w:r>
        <w:t xml:space="preserve">dimensions. The</w:t>
      </w:r>
      <w:r>
        <w:t xml:space="preserve"> </w:t>
      </w:r>
      <w:r>
        <w:t xml:space="preserve">semantic exploratory graph analyses quite strongly favor the ChatGPT item set. Here, there was almost perfect recovery of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categories (only two Pragmatic Integrator items strayed from pre–supposed clusterings, see</w:t>
      </w:r>
      <w:r>
        <w:t xml:space="preserve"> </w:t>
      </w:r>
      <w:hyperlink w:anchor="fig-ega-gpt">
        <w:r>
          <w:rPr>
            <w:rStyle w:val="Hyperlink"/>
          </w:rPr>
          <w:t xml:space="preserve">Figure 4</w:t>
        </w:r>
      </w:hyperlink>
      <w:r>
        <w:t xml:space="preserve">). The SME–derived item set returned the</w:t>
      </w:r>
      <w:r>
        <w:t xml:space="preserve"> </w:t>
      </w:r>
      <w:r>
        <w:rPr>
          <w:i/>
          <w:iCs/>
        </w:rPr>
        <w:t xml:space="preserve">least interpretable</w:t>
      </w:r>
      <w:r>
        <w:t xml:space="preserve"> </w:t>
      </w:r>
      <w:r>
        <w:t xml:space="preserve">semantically–driven associations – note that this is a complete reversal of the conclusions from the traditional indicators.</w:t>
      </w:r>
    </w:p>
    <w:p>
      <w:pPr>
        <w:pStyle w:val="BodyText"/>
      </w:pPr>
      <w:r>
        <w:t xml:space="preserve">The somewhat unusual EFA representations (e.g.,</w:t>
      </w:r>
      <w:r>
        <w:t xml:space="preserve"> </w:t>
      </w:r>
      <w:hyperlink w:anchor="fig-net-gpt">
        <w:r>
          <w:rPr>
            <w:rStyle w:val="Hyperlink"/>
          </w:rPr>
          <w:t xml:space="preserve">Figure 1</w:t>
        </w:r>
      </w:hyperlink>
      <w:r>
        <w:t xml:space="preserve">) were specified in an attempt to accommodate both approaches, such that EFA associations could be digested in a similar manner to EGA relationships. Conferring with these visuals, as well as one–factor solutions (not presented in this current paper) led that authors to consider the possibility that the</w:t>
      </w:r>
      <w:r>
        <w:t xml:space="preserve"> </w:t>
      </w:r>
      <w:r>
        <w:t xml:space="preserve">Callari and Puppione (</w:t>
      </w:r>
      <w:hyperlink w:anchor="ref-callari2025meaningful">
        <w:r>
          <w:rPr>
            <w:rStyle w:val="Hyperlink"/>
          </w:rPr>
          <w:t xml:space="preserve">2025</w:t>
        </w:r>
      </w:hyperlink>
      <w:r>
        <w:t xml:space="preserve">)</w:t>
      </w:r>
      <w:r>
        <w:t xml:space="preserve"> </w:t>
      </w:r>
      <w:r>
        <w:rPr>
          <w:i/>
          <w:iCs/>
        </w:rPr>
        <w:t xml:space="preserve">typology</w:t>
      </w:r>
      <w:r>
        <w:t xml:space="preserve"> </w:t>
      </w:r>
      <w:r>
        <w:t xml:space="preserve">may not be the best representation of AI adopter variability. It is possible that a difference of saturation is more salient than is a difference of orientation (e.g.,</w:t>
      </w:r>
      <w:r>
        <w:t xml:space="preserve"> </w:t>
      </w:r>
      <w:r>
        <w:t xml:space="preserve">“novice, intermediate, and expert user”</w:t>
      </w:r>
      <w:r>
        <w:t xml:space="preserve"> </w:t>
      </w:r>
      <w:r>
        <w:t xml:space="preserve">as opposed to “effeciency seeker, pragmatic integrator, and collaborative optimiser). The greatest substantive implication here, then, is that this construct may benefit from further theoretical attention and specification. The results of integration of traditional and network psychometric indicators, we believe, holds potential for unique insight regarding the structural associations among assessment components.</w:t>
      </w:r>
    </w:p>
    <w:p>
      <w:pPr>
        <w:pStyle w:val="BodyText"/>
      </w:pPr>
      <w:r>
        <w:t xml:space="preserve">One of the practical contributions we make is to explore the ways AI is being used at present.</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presented three ideal</w:t>
      </w:r>
      <w:r>
        <w:t xml:space="preserve"> </w:t>
      </w:r>
      <w:r>
        <w:t xml:space="preserve">types of AI users that we based our quantitative scale creation on. The somewhat mixed results suggest that there may not be distinct types of AI users, but rather, we can conceptualize AI use on an continuum of expertise, whereby greater levels of expertise are evidenced by a higher degree of AI collaboration.</w:t>
      </w:r>
    </w:p>
    <w:bookmarkStart w:id="36" w:name="limitations-future-directions"/>
    <w:p>
      <w:pPr>
        <w:pStyle w:val="Heading2"/>
      </w:pPr>
      <w:r>
        <w:t xml:space="preserve">Limitations &amp; Future Directions</w:t>
      </w:r>
    </w:p>
    <w:p>
      <w:pPr>
        <w:pStyle w:val="FirstParagraph"/>
      </w:pPr>
      <w:r>
        <w:t xml:space="preserve">We note a number of limitations that future study/comparisons would benefit from. First, for this SIOP submission, we present a modest sample size. An additional study comparing these three procedures with a</w:t>
      </w:r>
      <w:r>
        <w:t xml:space="preserve"> </w:t>
      </w:r>
      <w:r>
        <w:t xml:space="preserve">larger sample size is warranted. In addition, this first pilot sample was obtained from university students were were asked to keep one context in mind as they responded to the survey. The majority of respondents indicated they had school in mind, whereas a smaller percentage had work in mind. Future research should incorporate full</w:t>
      </w:r>
      <w:r>
        <w:t xml:space="preserve"> </w:t>
      </w:r>
      <w:r>
        <w:t xml:space="preserve">time employees across industries, and account for degree of AI integration within their workplaces.</w:t>
      </w:r>
    </w:p>
    <w:bookmarkEnd w:id="36"/>
    <w:bookmarkStart w:id="37" w:name="conclusion"/>
    <w:p>
      <w:pPr>
        <w:pStyle w:val="Heading2"/>
      </w:pPr>
      <w:r>
        <w:t xml:space="preserve">Conclusion</w:t>
      </w:r>
    </w:p>
    <w:p>
      <w:pPr>
        <w:pStyle w:val="FirstParagraph"/>
      </w:pPr>
      <w:r>
        <w:t xml:space="preserve">The conceptualization of AI adopter type may be better structured as differences of AI adopter</w:t>
      </w:r>
      <w:r>
        <w:t xml:space="preserve"> </w:t>
      </w:r>
      <w:r>
        <w:rPr>
          <w:i/>
          <w:iCs/>
        </w:rPr>
        <w:t xml:space="preserve">degree</w:t>
      </w:r>
      <w:r>
        <w:t xml:space="preserve"> </w:t>
      </w:r>
      <w:r>
        <w:t xml:space="preserve">(e.g., novice, intermediate, or expert), and mutual consideration of traditional and newer lenses for scale development may provide greater insight than does consideration of either approach in isolation.</w:t>
      </w:r>
    </w:p>
    <w:bookmarkEnd w:id="37"/>
    <w:bookmarkEnd w:id="38"/>
    <w:bookmarkStart w:id="76" w:name="references"/>
    <w:p>
      <w:pPr>
        <w:pStyle w:val="Heading1"/>
      </w:pPr>
      <w:r>
        <w:t xml:space="preserve">References</w:t>
      </w:r>
    </w:p>
    <w:bookmarkStart w:id="49" w:name="refs"/>
    <w:bookmarkStart w:id="39"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9"/>
    <w:bookmarkStart w:id="40" w:name="ref-borsboom2022possible"/>
    <w:p>
      <w:pPr>
        <w:pStyle w:val="Bibliography"/>
      </w:pPr>
      <w:r>
        <w:t xml:space="preserve">Borsboom, D. (2022). Possible futures for network psychometrics.</w:t>
      </w:r>
      <w:r>
        <w:t xml:space="preserve"> </w:t>
      </w:r>
      <w:r>
        <w:rPr>
          <w:i/>
          <w:iCs/>
        </w:rPr>
        <w:t xml:space="preserve">Psychometrika</w:t>
      </w:r>
      <w:r>
        <w:t xml:space="preserve">,</w:t>
      </w:r>
      <w:r>
        <w:t xml:space="preserve"> </w:t>
      </w:r>
      <w:r>
        <w:rPr>
          <w:i/>
          <w:iCs/>
        </w:rPr>
        <w:t xml:space="preserve">87</w:t>
      </w:r>
      <w:r>
        <w:t xml:space="preserve">(1), 253–265.</w:t>
      </w:r>
    </w:p>
    <w:bookmarkEnd w:id="40"/>
    <w:bookmarkStart w:id="41" w:name="ref-borsboom2013network"/>
    <w:p>
      <w:pPr>
        <w:pStyle w:val="Bibliography"/>
      </w:pPr>
      <w:r>
        <w:t xml:space="preserve">Borsboom, D., &amp; Cramer, A. O. (2013). Network analysis: An integrative approach to the structure of psychopathology.</w:t>
      </w:r>
      <w:r>
        <w:t xml:space="preserve"> </w:t>
      </w:r>
      <w:r>
        <w:rPr>
          <w:i/>
          <w:iCs/>
        </w:rPr>
        <w:t xml:space="preserve">Annual Review of Clinical Psychology</w:t>
      </w:r>
      <w:r>
        <w:t xml:space="preserve">,</w:t>
      </w:r>
      <w:r>
        <w:t xml:space="preserve"> </w:t>
      </w:r>
      <w:r>
        <w:rPr>
          <w:i/>
          <w:iCs/>
        </w:rPr>
        <w:t xml:space="preserve">9</w:t>
      </w:r>
      <w:r>
        <w:t xml:space="preserve">(1), 91–121.</w:t>
      </w:r>
    </w:p>
    <w:bookmarkEnd w:id="41"/>
    <w:bookmarkStart w:id="42"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42"/>
    <w:bookmarkStart w:id="43" w:name="ref-epskamp2018network"/>
    <w:p>
      <w:pPr>
        <w:pStyle w:val="Bibliography"/>
      </w:pPr>
      <w:r>
        <w:t xml:space="preserve">Epskamp, S., Maris, G., Waldorp, L. J., &amp; Borsboom, D. (2018). Network psychometrics.</w:t>
      </w:r>
      <w:r>
        <w:t xml:space="preserve"> </w:t>
      </w:r>
      <w:r>
        <w:rPr>
          <w:i/>
          <w:iCs/>
        </w:rPr>
        <w:t xml:space="preserve">The Wiley Handbook of Psychometric Testing: A Multidisciplinary Reference on Survey, Scale and Test Development</w:t>
      </w:r>
      <w:r>
        <w:t xml:space="preserve">, 953–986.</w:t>
      </w:r>
    </w:p>
    <w:bookmarkEnd w:id="43"/>
    <w:bookmarkStart w:id="44"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44"/>
    <w:bookmarkStart w:id="45"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5"/>
    <w:bookmarkStart w:id="46"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6"/>
    <w:bookmarkStart w:id="47"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7"/>
    <w:bookmarkStart w:id="48"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8"/>
    <w:bookmarkEnd w:id="49"/>
    <w:bookmarkStart w:id="50"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AI-GENIE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bl>
    <w:bookmarkEnd w:id="50"/>
    <w:p>
      <w:r>
        <w:br w:type="page"/>
      </w:r>
    </w:p>
    <w:bookmarkStart w:id="51" w:name="tbl-corrs"/>
    <w:p>
      <w:pPr>
        <w:pStyle w:val="FigureTitle"/>
      </w:pPr>
      <w:r>
        <w:t xml:space="preserve">Table 2</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r>
              <w:t xml:space="preserve">​</w:t>
            </w:r>
          </w:p>
        </w:tc>
        <w:tc>
          <w:tcPr/>
          <w:p>
            <w:pPr>
              <w:pStyle w:val="Compact"/>
              <w:jc w:val="left"/>
            </w:pPr>
            <m:oMath>
              <m:r>
                <m:t>S</m:t>
              </m:r>
              <m:r>
                <m:t>D</m:t>
              </m:r>
            </m:oMath>
            <w:r>
              <w:t xml:space="preserve">​</w:t>
            </w:r>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AI-GENIE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AI-GENIE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AI-GENIE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p>
      <w:pPr>
        <w:pStyle w:val="table-note"/>
      </w:pPr>
      <w:r>
        <w:rPr>
          <w:i/>
          <w:iCs/>
        </w:rPr>
        <w:t xml:space="preserve">Note.</w:t>
      </w:r>
      <w:r>
        <w:t xml:space="preserve"> </w:t>
      </w:r>
      <w:r>
        <w:t xml:space="preserve">* p &lt; 0.05; ** p &lt; 0.01; *** p &lt; 0.001</w:t>
      </w:r>
    </w:p>
    <w:p>
      <w:pPr>
        <w:pStyle w:val="FigureWithoutNote"/>
      </w:pPr>
      <w:r>
        <w:t xml:space="preserve"> </w:t>
      </w:r>
    </w:p>
    <w:bookmarkEnd w:id="51"/>
    <w:p>
      <w:r>
        <w:br w:type="page"/>
      </w:r>
    </w:p>
    <w:bookmarkStart w:id="55" w:name="fig-net-gpt"/>
    <w:p>
      <w:pPr>
        <w:pStyle w:val="FigureTitle"/>
      </w:pPr>
      <w:r>
        <w:t xml:space="preserve">Figure 1</w:t>
      </w:r>
    </w:p>
    <w:p>
      <w:pPr>
        <w:pStyle w:val="Caption"/>
      </w:pPr>
      <w:r>
        <w:t xml:space="preserve">EFA loading network, ChatGPT–generated items (3 factors, ML, oblimin; |loading| ≥ .30)</w:t>
      </w:r>
    </w:p>
    <w:p>
      <w:pPr>
        <w:pStyle w:val="FigureWithoutNote"/>
      </w:pPr>
      <w:r>
        <w:drawing>
          <wp:inline>
            <wp:extent cx="5943600" cy="5943600"/>
            <wp:effectExtent b="0" l="0" r="0" t="0"/>
            <wp:docPr descr="" title="" id="53" name="Picture"/>
            <a:graphic>
              <a:graphicData uri="http://schemas.openxmlformats.org/drawingml/2006/picture">
                <pic:pic>
                  <pic:nvPicPr>
                    <pic:cNvPr descr="AI_JCM_files/figure-docx/fig-net-gpt-1.png" id="54" name="Picture"/>
                    <pic:cNvPicPr>
                      <a:picLocks noChangeArrowheads="1" noChangeAspect="1"/>
                    </pic:cNvPicPr>
                  </pic:nvPicPr>
                  <pic:blipFill>
                    <a:blip r:embed="rId52"/>
                    <a:stretch>
                      <a:fillRect/>
                    </a:stretch>
                  </pic:blipFill>
                  <pic:spPr bwMode="auto">
                    <a:xfrm>
                      <a:off x="0" y="0"/>
                      <a:ext cx="5943600" cy="5943600"/>
                    </a:xfrm>
                    <a:prstGeom prst="rect">
                      <a:avLst/>
                    </a:prstGeom>
                    <a:noFill/>
                    <a:ln w="9525">
                      <a:noFill/>
                      <a:headEnd/>
                      <a:tailEnd/>
                    </a:ln>
                  </pic:spPr>
                </pic:pic>
              </a:graphicData>
            </a:graphic>
          </wp:inline>
        </w:drawing>
      </w:r>
    </w:p>
    <w:bookmarkEnd w:id="55"/>
    <w:p>
      <w:r>
        <w:br w:type="page"/>
      </w:r>
    </w:p>
    <w:bookmarkStart w:id="59"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7" name="Picture"/>
            <a:graphic>
              <a:graphicData uri="http://schemas.openxmlformats.org/drawingml/2006/picture">
                <pic:pic>
                  <pic:nvPicPr>
                    <pic:cNvPr descr="AI_JCM_files/figure-docx/fig-net-sme-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bookmarkEnd w:id="59"/>
    <w:p>
      <w:r>
        <w:br w:type="page"/>
      </w:r>
    </w:p>
    <w:bookmarkStart w:id="63"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61" name="Picture"/>
            <a:graphic>
              <a:graphicData uri="http://schemas.openxmlformats.org/drawingml/2006/picture">
                <pic:pic>
                  <pic:nvPicPr>
                    <pic:cNvPr descr="AI_JCM_files/figure-docx/fig-net-genie-1.png" id="62" name="Picture"/>
                    <pic:cNvPicPr>
                      <a:picLocks noChangeArrowheads="1" noChangeAspect="1"/>
                    </pic:cNvPicPr>
                  </pic:nvPicPr>
                  <pic:blipFill>
                    <a:blip r:embed="rId60"/>
                    <a:stretch>
                      <a:fillRect/>
                    </a:stretch>
                  </pic:blipFill>
                  <pic:spPr bwMode="auto">
                    <a:xfrm>
                      <a:off x="0" y="0"/>
                      <a:ext cx="5943600" cy="5943600"/>
                    </a:xfrm>
                    <a:prstGeom prst="rect">
                      <a:avLst/>
                    </a:prstGeom>
                    <a:noFill/>
                    <a:ln w="9525">
                      <a:noFill/>
                      <a:headEnd/>
                      <a:tailEnd/>
                    </a:ln>
                  </pic:spPr>
                </pic:pic>
              </a:graphicData>
            </a:graphic>
          </wp:inline>
        </w:drawing>
      </w:r>
    </w:p>
    <w:bookmarkEnd w:id="63"/>
    <w:p>
      <w:r>
        <w:br w:type="page"/>
      </w:r>
    </w:p>
    <w:bookmarkStart w:id="67" w:name="fig-ega-gpt"/>
    <w:p>
      <w:pPr>
        <w:pStyle w:val="FigureTitle"/>
      </w:pPr>
      <w:r>
        <w:t xml:space="preserve">Figure 4</w:t>
      </w:r>
    </w:p>
    <w:p>
      <w:pPr>
        <w:pStyle w:val="Caption"/>
      </w:pPr>
      <w:r>
        <w:t xml:space="preserve">Exploratory Graph Analysis (ChatGPT)</w:t>
      </w:r>
    </w:p>
    <w:p>
      <w:pPr>
        <w:pStyle w:val="FigureWithoutNote"/>
      </w:pPr>
      <w:r>
        <w:drawing>
          <wp:inline>
            <wp:extent cx="5943600" cy="5943600"/>
            <wp:effectExtent b="0" l="0" r="0" t="0"/>
            <wp:docPr descr="" title="" id="65" name="Picture"/>
            <a:graphic>
              <a:graphicData uri="http://schemas.openxmlformats.org/drawingml/2006/picture">
                <pic:pic>
                  <pic:nvPicPr>
                    <pic:cNvPr descr="AI_JCM_files/figure-docx/fig-ega-gpt-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p>
      <w:r>
        <w:br w:type="page"/>
      </w:r>
    </w:p>
    <w:bookmarkStart w:id="71"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9" name="Picture"/>
            <a:graphic>
              <a:graphicData uri="http://schemas.openxmlformats.org/drawingml/2006/picture">
                <pic:pic>
                  <pic:nvPicPr>
                    <pic:cNvPr descr="AI_JCM_files/figure-docx/fig-ega-sme-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bookmarkEnd w:id="71"/>
    <w:p>
      <w:r>
        <w:br w:type="page"/>
      </w:r>
    </w:p>
    <w:bookmarkStart w:id="75"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73" name="Picture"/>
            <a:graphic>
              <a:graphicData uri="http://schemas.openxmlformats.org/drawingml/2006/picture">
                <pic:pic>
                  <pic:nvPicPr>
                    <pic:cNvPr descr="AI_JCM_files/figure-docx/fig-ega-genie-1.png" id="74" name="Picture"/>
                    <pic:cNvPicPr>
                      <a:picLocks noChangeArrowheads="1" noChangeAspect="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75"/>
    <w:p>
      <w:r>
        <w:br w:type="page"/>
      </w:r>
    </w:p>
    <w:bookmarkEnd w:id="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lacking support. These visuals were constructed to facilitate comparison with visuals constructed from the network psychometric analyses (EGAs – explained below).</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2026-10-06T14:48:12Z</dcterms:created>
  <dcterms:modified xsi:type="dcterms:W3CDTF">2026-10-06T14:48:12Z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Measuring AI-Adopter Types: Comparison of Traditional vs. AI-Facilitated Procedures</vt:lpwstr>
  </property>
  <property fmtid="{D5CDD505-2E9C-101B-9397-08002B2CF9AE}" pid="6" name="apatitledisplay">
    <vt:lpwstr>Measuring AI-Adopter Types: Comparison of Traditional vs. AI-Facilitated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2982</vt:lpwstr>
  </property>
  <property fmtid="{D5CDD505-2E9C-101B-9397-08002B2CF9AE}" pid="61" name="zerocitations">
    <vt:lpwstr>False</vt:lpwstr>
  </property>
</Properties>
</file>