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p>
      <w:pPr>
        <w:pStyle w:val="Heading1"/>
      </w:pPr>
      <w:bookmarkStart w:id="21" w:name="X2504bc32e65350119bfe556e4205a8b9cdea7a2"/>
      <w:hyperlink r:id="rId20">
        <w:r>
          <w:rPr>
            <w:rStyle w:val="Hyperlink"/>
          </w:rPr>
          <w:t xml:space="preserve">https://quanteda.io/reference/textstat_readability.html</w:t>
        </w:r>
      </w:hyperlink>
      <w:bookmarkEnd w:id="21"/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2021-10-07T19:06:14Z</dcterms:created>
  <dcterms:modified xsi:type="dcterms:W3CDTF">2021-10-07T19:06:14Z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