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454" w:rsidRDefault="00675454" w:rsidP="00B70D60">
      <w:pPr>
        <w:numPr>
          <w:ilvl w:val="0"/>
          <w:numId w:val="1"/>
        </w:numPr>
        <w:snapToGrid w:val="0"/>
        <w:spacing w:line="300" w:lineRule="auto"/>
      </w:pPr>
      <w:r>
        <w:rPr>
          <w:rFonts w:hint="eastAsia"/>
        </w:rPr>
        <w:t>試上網查詢最初提出「動能效應」與「反轉效應」的文獻各為何？</w:t>
      </w:r>
    </w:p>
    <w:p w:rsidR="00675454" w:rsidRDefault="00675454" w:rsidP="00675454">
      <w:pPr>
        <w:snapToGrid w:val="0"/>
        <w:spacing w:line="300" w:lineRule="auto"/>
      </w:pPr>
      <w:r>
        <w:rPr>
          <w:rFonts w:hint="eastAsia"/>
        </w:rPr>
        <w:t>[</w:t>
      </w:r>
      <w:r>
        <w:rPr>
          <w:rFonts w:hint="eastAsia"/>
        </w:rPr>
        <w:t>解</w:t>
      </w:r>
      <w:r>
        <w:rPr>
          <w:rFonts w:hint="eastAsia"/>
        </w:rPr>
        <w:t>]</w:t>
      </w:r>
    </w:p>
    <w:p w:rsidR="00675454" w:rsidRDefault="00675454" w:rsidP="00675454">
      <w:pPr>
        <w:snapToGrid w:val="0"/>
        <w:spacing w:line="300" w:lineRule="auto"/>
      </w:pPr>
      <w:r>
        <w:rPr>
          <w:rFonts w:hint="eastAsia"/>
        </w:rPr>
        <w:t>略</w:t>
      </w:r>
    </w:p>
    <w:p w:rsidR="00675454" w:rsidRDefault="00675454" w:rsidP="00675454">
      <w:pPr>
        <w:snapToGrid w:val="0"/>
        <w:spacing w:line="300" w:lineRule="auto"/>
        <w:rPr>
          <w:rFonts w:hint="eastAsia"/>
        </w:rPr>
      </w:pPr>
    </w:p>
    <w:p w:rsidR="00675454" w:rsidRDefault="00675454" w:rsidP="00675454">
      <w:pPr>
        <w:numPr>
          <w:ilvl w:val="0"/>
          <w:numId w:val="1"/>
        </w:numPr>
        <w:snapToGrid w:val="0"/>
        <w:spacing w:line="300" w:lineRule="auto"/>
      </w:pPr>
      <w:r>
        <w:rPr>
          <w:rFonts w:hint="eastAsia"/>
        </w:rPr>
        <w:t>試指出慣性策略技術分析有那些？反向策略技術分析有那些？</w:t>
      </w:r>
      <w:proofErr w:type="gramStart"/>
      <w:r>
        <w:rPr>
          <w:rFonts w:hint="eastAsia"/>
        </w:rPr>
        <w:t>各舉</w:t>
      </w:r>
      <w:proofErr w:type="gramEnd"/>
      <w:r>
        <w:rPr>
          <w:rFonts w:hint="eastAsia"/>
        </w:rPr>
        <w:t>二例。</w:t>
      </w:r>
    </w:p>
    <w:p w:rsidR="00675454" w:rsidRDefault="00675454" w:rsidP="00675454">
      <w:pPr>
        <w:snapToGrid w:val="0"/>
        <w:spacing w:line="300" w:lineRule="auto"/>
      </w:pPr>
      <w:r>
        <w:rPr>
          <w:rFonts w:hint="eastAsia"/>
        </w:rPr>
        <w:t>[</w:t>
      </w:r>
      <w:r>
        <w:rPr>
          <w:rFonts w:hint="eastAsia"/>
        </w:rPr>
        <w:t>解</w:t>
      </w:r>
      <w:r>
        <w:rPr>
          <w:rFonts w:hint="eastAsia"/>
        </w:rPr>
        <w:t>]</w:t>
      </w:r>
    </w:p>
    <w:p w:rsidR="00675454" w:rsidRDefault="00675454" w:rsidP="00675454">
      <w:pPr>
        <w:snapToGrid w:val="0"/>
        <w:spacing w:line="300" w:lineRule="auto"/>
      </w:pPr>
      <w:r>
        <w:rPr>
          <w:rFonts w:hint="eastAsia"/>
        </w:rPr>
        <w:t>慣性策略技術分析</w:t>
      </w:r>
      <w:r>
        <w:rPr>
          <w:rFonts w:hint="eastAsia"/>
        </w:rPr>
        <w:t>：價格移動平均線、成交量</w:t>
      </w:r>
      <w:r>
        <w:rPr>
          <w:rFonts w:hint="eastAsia"/>
        </w:rPr>
        <w:t>移動平均線</w:t>
      </w:r>
    </w:p>
    <w:p w:rsidR="00675454" w:rsidRDefault="00675454" w:rsidP="00675454">
      <w:pPr>
        <w:snapToGrid w:val="0"/>
        <w:spacing w:line="300" w:lineRule="auto"/>
        <w:rPr>
          <w:rFonts w:hint="eastAsia"/>
        </w:rPr>
      </w:pPr>
      <w:r>
        <w:rPr>
          <w:rFonts w:hint="eastAsia"/>
        </w:rPr>
        <w:t>反向策略技術分析</w:t>
      </w:r>
      <w:r>
        <w:rPr>
          <w:rFonts w:hint="eastAsia"/>
        </w:rPr>
        <w:t>：布林帶、</w:t>
      </w:r>
      <w:r>
        <w:rPr>
          <w:rFonts w:hint="eastAsia"/>
        </w:rPr>
        <w:t>RSI</w:t>
      </w:r>
    </w:p>
    <w:p w:rsidR="00675454" w:rsidRDefault="00675454" w:rsidP="00675454">
      <w:pPr>
        <w:snapToGrid w:val="0"/>
        <w:spacing w:line="300" w:lineRule="auto"/>
        <w:rPr>
          <w:rFonts w:hint="eastAsia"/>
        </w:rPr>
      </w:pPr>
    </w:p>
    <w:p w:rsidR="00675454" w:rsidRDefault="00675454" w:rsidP="00675454">
      <w:pPr>
        <w:numPr>
          <w:ilvl w:val="0"/>
          <w:numId w:val="1"/>
        </w:numPr>
        <w:snapToGrid w:val="0"/>
        <w:spacing w:line="300" w:lineRule="auto"/>
      </w:pPr>
      <w:r>
        <w:rPr>
          <w:rFonts w:hint="eastAsia"/>
        </w:rPr>
        <w:t>試說明好公司</w:t>
      </w:r>
      <w:r>
        <w:t>(</w:t>
      </w:r>
      <w:r>
        <w:rPr>
          <w:rFonts w:hint="eastAsia"/>
        </w:rPr>
        <w:t>高淨值報酬率</w:t>
      </w:r>
      <w:r>
        <w:t>)</w:t>
      </w:r>
      <w:r>
        <w:rPr>
          <w:rFonts w:hint="eastAsia"/>
        </w:rPr>
        <w:t>的股票報酬率未必高？便宜的股票</w:t>
      </w:r>
      <w:r>
        <w:t>(</w:t>
      </w:r>
      <w:r>
        <w:rPr>
          <w:rFonts w:hint="eastAsia"/>
        </w:rPr>
        <w:t>高淨值市值比</w:t>
      </w:r>
      <w:r>
        <w:t>)</w:t>
      </w:r>
      <w:r>
        <w:rPr>
          <w:rFonts w:hint="eastAsia"/>
        </w:rPr>
        <w:t>報酬率未必高？</w:t>
      </w:r>
    </w:p>
    <w:p w:rsidR="00675454" w:rsidRDefault="00675454" w:rsidP="00675454">
      <w:pPr>
        <w:snapToGrid w:val="0"/>
        <w:spacing w:line="300" w:lineRule="auto"/>
      </w:pPr>
      <w:r>
        <w:rPr>
          <w:rFonts w:hint="eastAsia"/>
        </w:rPr>
        <w:t>[</w:t>
      </w:r>
      <w:r>
        <w:rPr>
          <w:rFonts w:hint="eastAsia"/>
        </w:rPr>
        <w:t>解</w:t>
      </w:r>
      <w:r>
        <w:rPr>
          <w:rFonts w:hint="eastAsia"/>
        </w:rPr>
        <w:t>]</w:t>
      </w:r>
    </w:p>
    <w:p w:rsidR="00675454" w:rsidRDefault="00675454" w:rsidP="00675454">
      <w:pPr>
        <w:pStyle w:val="a3"/>
        <w:numPr>
          <w:ilvl w:val="0"/>
          <w:numId w:val="3"/>
        </w:numPr>
        <w:snapToGrid w:val="0"/>
        <w:spacing w:line="300" w:lineRule="auto"/>
        <w:ind w:leftChars="0"/>
        <w:rPr>
          <w:rFonts w:hint="eastAsia"/>
        </w:rPr>
      </w:pPr>
      <w:r>
        <w:rPr>
          <w:rFonts w:hint="eastAsia"/>
        </w:rPr>
        <w:t>好公司</w:t>
      </w:r>
      <w:r>
        <w:t>(</w:t>
      </w:r>
      <w:r>
        <w:rPr>
          <w:rFonts w:hint="eastAsia"/>
        </w:rPr>
        <w:t>高淨值報酬率</w:t>
      </w:r>
      <w:r>
        <w:t>)</w:t>
      </w:r>
      <w:r>
        <w:rPr>
          <w:rFonts w:hint="eastAsia"/>
        </w:rPr>
        <w:t>的股票</w:t>
      </w:r>
      <w:r>
        <w:rPr>
          <w:rFonts w:hint="eastAsia"/>
        </w:rPr>
        <w:t>有可能</w:t>
      </w:r>
      <w:bookmarkStart w:id="0" w:name="_GoBack"/>
      <w:bookmarkEnd w:id="0"/>
      <w:r>
        <w:rPr>
          <w:rFonts w:hint="eastAsia"/>
        </w:rPr>
        <w:t>估值已高</w:t>
      </w:r>
      <w:r>
        <w:rPr>
          <w:rFonts w:hint="eastAsia"/>
        </w:rPr>
        <w:t xml:space="preserve"> (P/E, P/B</w:t>
      </w:r>
      <w:r>
        <w:rPr>
          <w:rFonts w:hint="eastAsia"/>
        </w:rPr>
        <w:t>很高</w:t>
      </w:r>
      <w:r>
        <w:rPr>
          <w:rFonts w:hint="eastAsia"/>
        </w:rPr>
        <w:t>)</w:t>
      </w:r>
      <w:r>
        <w:rPr>
          <w:rFonts w:hint="eastAsia"/>
        </w:rPr>
        <w:t>，一旦</w:t>
      </w:r>
      <w:r>
        <w:rPr>
          <w:rFonts w:hint="eastAsia"/>
        </w:rPr>
        <w:t>高淨值報酬率</w:t>
      </w:r>
      <w:r>
        <w:rPr>
          <w:rFonts w:hint="eastAsia"/>
        </w:rPr>
        <w:t>難以維持，股價可能大幅下跌。</w:t>
      </w:r>
    </w:p>
    <w:p w:rsidR="00675454" w:rsidRDefault="00675454" w:rsidP="00067FAC">
      <w:pPr>
        <w:pStyle w:val="a3"/>
        <w:numPr>
          <w:ilvl w:val="0"/>
          <w:numId w:val="3"/>
        </w:numPr>
        <w:snapToGrid w:val="0"/>
        <w:spacing w:line="300" w:lineRule="auto"/>
        <w:ind w:leftChars="0"/>
      </w:pPr>
      <w:r>
        <w:rPr>
          <w:rFonts w:hint="eastAsia"/>
        </w:rPr>
        <w:t>便宜的股票</w:t>
      </w:r>
      <w:r>
        <w:t>(</w:t>
      </w:r>
      <w:r>
        <w:rPr>
          <w:rFonts w:hint="eastAsia"/>
        </w:rPr>
        <w:t>低</w:t>
      </w:r>
      <w:r>
        <w:rPr>
          <w:rFonts w:hint="eastAsia"/>
        </w:rPr>
        <w:t>P/E, P/B</w:t>
      </w:r>
      <w:r>
        <w:t>)</w:t>
      </w:r>
      <w:r>
        <w:rPr>
          <w:rFonts w:hint="eastAsia"/>
        </w:rPr>
        <w:t>有可能淨值報酬率</w:t>
      </w:r>
      <w:r>
        <w:rPr>
          <w:rFonts w:hint="eastAsia"/>
        </w:rPr>
        <w:t>ROE</w:t>
      </w:r>
      <w:r>
        <w:rPr>
          <w:rFonts w:hint="eastAsia"/>
        </w:rPr>
        <w:t>很低，甚至負值，其</w:t>
      </w:r>
      <w:r>
        <w:rPr>
          <w:rFonts w:hint="eastAsia"/>
        </w:rPr>
        <w:t>估值</w:t>
      </w:r>
      <w:r>
        <w:rPr>
          <w:rFonts w:hint="eastAsia"/>
        </w:rPr>
        <w:t>雖低</w:t>
      </w:r>
      <w:r>
        <w:rPr>
          <w:rFonts w:hint="eastAsia"/>
        </w:rPr>
        <w:t>，</w:t>
      </w:r>
      <w:r>
        <w:rPr>
          <w:rFonts w:hint="eastAsia"/>
        </w:rPr>
        <w:t>但並未低估，甚至因市場抱持</w:t>
      </w:r>
      <w:r>
        <w:rPr>
          <w:rFonts w:hint="eastAsia"/>
        </w:rPr>
        <w:t>ROE</w:t>
      </w:r>
      <w:r>
        <w:rPr>
          <w:rFonts w:hint="eastAsia"/>
        </w:rPr>
        <w:t>將會改善的</w:t>
      </w:r>
      <w:r>
        <w:rPr>
          <w:rFonts w:hint="eastAsia"/>
        </w:rPr>
        <w:t>一線</w:t>
      </w:r>
      <w:r>
        <w:rPr>
          <w:rFonts w:hint="eastAsia"/>
        </w:rPr>
        <w:t>希望而偏高，</w:t>
      </w:r>
      <w:r>
        <w:rPr>
          <w:rFonts w:hint="eastAsia"/>
        </w:rPr>
        <w:t>一旦</w:t>
      </w:r>
      <w:r>
        <w:rPr>
          <w:rFonts w:hint="eastAsia"/>
        </w:rPr>
        <w:t>希望落空，</w:t>
      </w:r>
      <w:r>
        <w:rPr>
          <w:rFonts w:hint="eastAsia"/>
        </w:rPr>
        <w:t>股價可能大幅下跌。</w:t>
      </w:r>
    </w:p>
    <w:p w:rsidR="003E4EE2" w:rsidRPr="00675454" w:rsidRDefault="00B70D60"/>
    <w:sectPr w:rsidR="003E4EE2" w:rsidRPr="006754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596764"/>
    <w:multiLevelType w:val="hybridMultilevel"/>
    <w:tmpl w:val="618CBC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2C21286"/>
    <w:multiLevelType w:val="hybridMultilevel"/>
    <w:tmpl w:val="5546D4E8"/>
    <w:lvl w:ilvl="0" w:tplc="C362045A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454"/>
    <w:rsid w:val="00675454"/>
    <w:rsid w:val="009923A2"/>
    <w:rsid w:val="00B70D60"/>
    <w:rsid w:val="00E3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FC6F0"/>
  <w15:chartTrackingRefBased/>
  <w15:docId w15:val="{67DDD387-4803-4AA0-B725-3F7A25BFD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5454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545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2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2017-10-03T15:34:00Z</dcterms:created>
  <dcterms:modified xsi:type="dcterms:W3CDTF">2017-10-03T15:44:00Z</dcterms:modified>
</cp:coreProperties>
</file>