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2B02" w:rsidRPr="00F63A25" w:rsidRDefault="00402B02" w:rsidP="00402B02">
      <w:pPr>
        <w:spacing w:line="300" w:lineRule="auto"/>
      </w:pPr>
      <w:r w:rsidRPr="00F63A25">
        <w:t>RSI</w:t>
      </w:r>
      <w:r w:rsidRPr="00F63A25">
        <w:t>的傳統用法是「</w:t>
      </w:r>
      <w:r w:rsidRPr="00F63A25">
        <w:t>RSI</w:t>
      </w:r>
      <w:r w:rsidRPr="00F63A25">
        <w:t>大於</w:t>
      </w:r>
      <w:r w:rsidRPr="00F63A25">
        <w:t>70%(</w:t>
      </w:r>
      <w:r w:rsidRPr="00F63A25">
        <w:t>或</w:t>
      </w:r>
      <w:r w:rsidRPr="00F63A25">
        <w:t>80%)</w:t>
      </w:r>
      <w:r w:rsidRPr="00F63A25">
        <w:t>是賣點，小於</w:t>
      </w:r>
      <w:r w:rsidRPr="00F63A25">
        <w:t>30%(20%)</w:t>
      </w:r>
      <w:r w:rsidRPr="00F63A25">
        <w:t>是買點」，但實證顯示，</w:t>
      </w:r>
      <w:r w:rsidRPr="00F63A25">
        <w:t>RSI</w:t>
      </w:r>
      <w:r w:rsidRPr="00F63A25">
        <w:t>指標的正確用法是「</w:t>
      </w:r>
      <w:r w:rsidRPr="00F63A25">
        <w:t>RSI</w:t>
      </w:r>
      <w:r w:rsidRPr="00F63A25">
        <w:t>大於</w:t>
      </w:r>
      <w:r w:rsidRPr="00F63A25">
        <w:t>70%(</w:t>
      </w:r>
      <w:r w:rsidRPr="00F63A25">
        <w:t>或</w:t>
      </w:r>
      <w:r w:rsidRPr="00F63A25">
        <w:t>80%)</w:t>
      </w:r>
      <w:r w:rsidRPr="00F63A25">
        <w:t>是買點，小於</w:t>
      </w:r>
      <w:r w:rsidRPr="00F63A25">
        <w:t>30%(20%)</w:t>
      </w:r>
      <w:r w:rsidRPr="00F63A25">
        <w:t>是賣點」，為什麼？</w:t>
      </w:r>
    </w:p>
    <w:p w:rsidR="003E4EE2" w:rsidRDefault="00402B02">
      <w:r>
        <w:rPr>
          <w:rFonts w:hint="eastAsia"/>
        </w:rPr>
        <w:t>[</w:t>
      </w:r>
      <w:r>
        <w:rPr>
          <w:rFonts w:hint="eastAsia"/>
        </w:rPr>
        <w:t>解</w:t>
      </w:r>
      <w:r>
        <w:rPr>
          <w:rFonts w:hint="eastAsia"/>
        </w:rPr>
        <w:t>]</w:t>
      </w:r>
    </w:p>
    <w:p w:rsidR="00402B02" w:rsidRDefault="00402B02" w:rsidP="00402B02">
      <w:pPr>
        <w:spacing w:line="300" w:lineRule="auto"/>
        <w:jc w:val="both"/>
      </w:pPr>
      <w:r>
        <w:rPr>
          <w:rFonts w:hint="eastAsia"/>
        </w:rPr>
        <w:t xml:space="preserve">    </w:t>
      </w:r>
      <w:r w:rsidRPr="00402B02">
        <w:t>相對強弱指數（</w:t>
      </w:r>
      <w:r w:rsidRPr="00402B02">
        <w:t>Relative Strength Index</w:t>
      </w:r>
      <w:r w:rsidRPr="00402B02">
        <w:t>，</w:t>
      </w:r>
      <w:r w:rsidRPr="00402B02">
        <w:t>RSI</w:t>
      </w:r>
      <w:r w:rsidRPr="00402B02">
        <w:t>），</w:t>
      </w:r>
      <w:proofErr w:type="gramStart"/>
      <w:r w:rsidRPr="00402B02">
        <w:t>一</w:t>
      </w:r>
      <w:proofErr w:type="gramEnd"/>
      <w:r w:rsidRPr="00402B02">
        <w:t>藉比較價格升降運動以表達價格強度的技術分析工具。當某</w:t>
      </w:r>
      <w:hyperlink r:id="rId5" w:tooltip="證券" w:history="1">
        <w:r w:rsidRPr="00402B02">
          <w:t>證券</w:t>
        </w:r>
      </w:hyperlink>
      <w:r w:rsidRPr="00402B02">
        <w:t>的</w:t>
      </w:r>
      <w:r w:rsidRPr="00402B02">
        <w:t>RSI</w:t>
      </w:r>
      <w:r w:rsidRPr="00402B02">
        <w:t>升至</w:t>
      </w:r>
      <w:r w:rsidRPr="00402B02">
        <w:t>70</w:t>
      </w:r>
      <w:r w:rsidRPr="00402B02">
        <w:t>時，代表該證券已被</w:t>
      </w:r>
      <w:hyperlink r:id="rId6" w:tooltip="超買（頁面不存在）" w:history="1">
        <w:r w:rsidRPr="00402B02">
          <w:t>超買</w:t>
        </w:r>
      </w:hyperlink>
      <w:r w:rsidRPr="00402B02">
        <w:t>（</w:t>
      </w:r>
      <w:r w:rsidRPr="00402B02">
        <w:t>Overbought</w:t>
      </w:r>
      <w:r w:rsidRPr="00402B02">
        <w:t>），投資者應考慮出售該證券。相反，當證券</w:t>
      </w:r>
      <w:r w:rsidRPr="00402B02">
        <w:t>RSI</w:t>
      </w:r>
      <w:r w:rsidRPr="00402B02">
        <w:t>跌至</w:t>
      </w:r>
      <w:r w:rsidRPr="00402B02">
        <w:t>30</w:t>
      </w:r>
      <w:r w:rsidRPr="00402B02">
        <w:t>時，代表證券被</w:t>
      </w:r>
      <w:hyperlink r:id="rId7" w:tooltip="超賣" w:history="1">
        <w:r w:rsidRPr="00402B02">
          <w:t>超賣</w:t>
        </w:r>
      </w:hyperlink>
      <w:r w:rsidRPr="00402B02">
        <w:t>（</w:t>
      </w:r>
      <w:r w:rsidRPr="00402B02">
        <w:t>Oversold</w:t>
      </w:r>
      <w:r w:rsidRPr="00402B02">
        <w:t>），</w:t>
      </w:r>
      <w:proofErr w:type="gramStart"/>
      <w:r w:rsidRPr="00402B02">
        <w:t>投資者應購入</w:t>
      </w:r>
      <w:proofErr w:type="gramEnd"/>
      <w:r w:rsidRPr="00402B02">
        <w:t>該證券。</w:t>
      </w:r>
    </w:p>
    <w:p w:rsidR="00402B02" w:rsidRDefault="00402B02" w:rsidP="00402B02">
      <w:pPr>
        <w:spacing w:line="300" w:lineRule="auto"/>
        <w:jc w:val="both"/>
      </w:pPr>
      <w:r>
        <w:rPr>
          <w:rFonts w:hint="eastAsia"/>
        </w:rPr>
        <w:t xml:space="preserve">    </w:t>
      </w:r>
      <w:r w:rsidRPr="00402B02">
        <w:rPr>
          <w:rFonts w:hint="eastAsia"/>
        </w:rPr>
        <w:t>RSI</w:t>
      </w:r>
      <w:r w:rsidRPr="00402B02">
        <w:rPr>
          <w:rFonts w:hint="eastAsia"/>
        </w:rPr>
        <w:t>屬於</w:t>
      </w:r>
      <w:r w:rsidRPr="00402B02">
        <w:t>擺</w:t>
      </w:r>
      <w:proofErr w:type="gramStart"/>
      <w:r w:rsidRPr="00402B02">
        <w:t>盪</w:t>
      </w:r>
      <w:proofErr w:type="gramEnd"/>
      <w:r w:rsidRPr="00402B02">
        <w:t>系統</w:t>
      </w:r>
      <w:r w:rsidRPr="00402B02">
        <w:rPr>
          <w:rFonts w:hint="eastAsia"/>
        </w:rPr>
        <w:t>，</w:t>
      </w:r>
      <w:r w:rsidRPr="00402B02">
        <w:t>其理論基礎是</w:t>
      </w:r>
      <w:proofErr w:type="gramStart"/>
      <w:r w:rsidRPr="00402B02">
        <w:t>漲多必跌</w:t>
      </w:r>
      <w:proofErr w:type="gramEnd"/>
      <w:r w:rsidRPr="00402B02">
        <w:t>、跌</w:t>
      </w:r>
      <w:proofErr w:type="gramStart"/>
      <w:r w:rsidRPr="00402B02">
        <w:t>多必漲</w:t>
      </w:r>
      <w:proofErr w:type="gramEnd"/>
      <w:r w:rsidRPr="00402B02">
        <w:t>，即當股價短期漲或跌超過一個合理股價</w:t>
      </w:r>
      <w:proofErr w:type="gramStart"/>
      <w:r w:rsidRPr="00402B02">
        <w:t>範圍時終會</w:t>
      </w:r>
      <w:proofErr w:type="gramEnd"/>
      <w:r w:rsidRPr="00402B02">
        <w:t>回到合理範圍。此類技術分析專注於擷取</w:t>
      </w:r>
      <w:proofErr w:type="gramStart"/>
      <w:r w:rsidRPr="00402B02">
        <w:t>短期間的振盪</w:t>
      </w:r>
      <w:proofErr w:type="gramEnd"/>
      <w:r w:rsidRPr="00402B02">
        <w:t>高低點價差，因此在振盪盤整時期的表現往往較佳。雖然這類系統勝率較高，但經常小賺大賠，且交易頻率過高，導致交易成本大增，侵蝕報酬率。有時交易成本的增加甚至可能大於獲利的增加，反而得不償失。這類系統以布林帶（</w:t>
      </w:r>
      <w:r w:rsidRPr="00402B02">
        <w:t>Bollinger Bands</w:t>
      </w:r>
      <w:r w:rsidRPr="00402B02">
        <w:t>）為代表。</w:t>
      </w:r>
    </w:p>
    <w:p w:rsidR="00402B02" w:rsidRDefault="00402B02" w:rsidP="00402B02">
      <w:pPr>
        <w:spacing w:line="300" w:lineRule="auto"/>
        <w:jc w:val="both"/>
      </w:pPr>
      <w:r>
        <w:rPr>
          <w:rFonts w:hint="eastAsia"/>
        </w:rPr>
        <w:t xml:space="preserve">    </w:t>
      </w:r>
      <w:r w:rsidRPr="00402B02">
        <w:rPr>
          <w:rFonts w:hint="eastAsia"/>
        </w:rPr>
        <w:t>RSI</w:t>
      </w:r>
      <w:r w:rsidRPr="00402B02">
        <w:rPr>
          <w:rFonts w:hint="eastAsia"/>
        </w:rPr>
        <w:t>屬於</w:t>
      </w:r>
      <w:r w:rsidRPr="00402B02">
        <w:t>擺</w:t>
      </w:r>
      <w:proofErr w:type="gramStart"/>
      <w:r w:rsidRPr="00402B02">
        <w:t>盪</w:t>
      </w:r>
      <w:proofErr w:type="gramEnd"/>
      <w:r w:rsidRPr="00402B02">
        <w:t>系統</w:t>
      </w:r>
      <w:r>
        <w:t>，因此在振盪盤整時期的表現往往較佳</w:t>
      </w:r>
      <w:r w:rsidRPr="00402B02">
        <w:rPr>
          <w:rFonts w:hint="eastAsia"/>
        </w:rPr>
        <w:t>，</w:t>
      </w:r>
      <w:r>
        <w:rPr>
          <w:rFonts w:hint="eastAsia"/>
        </w:rPr>
        <w:t>但</w:t>
      </w:r>
      <w:r w:rsidRPr="00F63A25">
        <w:t>在波段趨勢明顯時的表現往往</w:t>
      </w:r>
      <w:r>
        <w:rPr>
          <w:rFonts w:hint="eastAsia"/>
        </w:rPr>
        <w:t>很差</w:t>
      </w:r>
      <w:r w:rsidRPr="00F63A25">
        <w:t>。</w:t>
      </w:r>
      <w:r>
        <w:rPr>
          <w:rFonts w:hint="eastAsia"/>
        </w:rPr>
        <w:t>股市偶爾一次的危機，如</w:t>
      </w:r>
    </w:p>
    <w:p w:rsidR="00402B02" w:rsidRDefault="00402B02" w:rsidP="00402B02">
      <w:pPr>
        <w:pStyle w:val="ab"/>
        <w:numPr>
          <w:ilvl w:val="0"/>
          <w:numId w:val="2"/>
        </w:numPr>
        <w:spacing w:line="300" w:lineRule="auto"/>
        <w:ind w:leftChars="0"/>
      </w:pPr>
      <w:r>
        <w:rPr>
          <w:rFonts w:hint="eastAsia"/>
        </w:rPr>
        <w:t>1973</w:t>
      </w:r>
      <w:r>
        <w:rPr>
          <w:rFonts w:hint="eastAsia"/>
        </w:rPr>
        <w:t>：石油危機</w:t>
      </w:r>
    </w:p>
    <w:p w:rsidR="00402B02" w:rsidRDefault="00402B02" w:rsidP="00402B02">
      <w:pPr>
        <w:pStyle w:val="ab"/>
        <w:numPr>
          <w:ilvl w:val="0"/>
          <w:numId w:val="2"/>
        </w:numPr>
        <w:spacing w:line="300" w:lineRule="auto"/>
        <w:ind w:leftChars="0"/>
      </w:pPr>
      <w:r>
        <w:rPr>
          <w:rFonts w:hint="eastAsia"/>
        </w:rPr>
        <w:t>1987</w:t>
      </w:r>
      <w:r>
        <w:rPr>
          <w:rFonts w:hint="eastAsia"/>
        </w:rPr>
        <w:t>：黑色星期一</w:t>
      </w:r>
    </w:p>
    <w:p w:rsidR="00402B02" w:rsidRDefault="00402B02" w:rsidP="00402B02">
      <w:pPr>
        <w:pStyle w:val="ab"/>
        <w:numPr>
          <w:ilvl w:val="0"/>
          <w:numId w:val="2"/>
        </w:numPr>
        <w:spacing w:line="300" w:lineRule="auto"/>
        <w:ind w:leftChars="0"/>
      </w:pPr>
      <w:r>
        <w:rPr>
          <w:rFonts w:hint="eastAsia"/>
        </w:rPr>
        <w:t>2000</w:t>
      </w:r>
      <w:r>
        <w:rPr>
          <w:rFonts w:hint="eastAsia"/>
        </w:rPr>
        <w:t>：網路泡沫化</w:t>
      </w:r>
    </w:p>
    <w:p w:rsidR="00402B02" w:rsidRDefault="00402B02" w:rsidP="00402B02">
      <w:pPr>
        <w:pStyle w:val="ab"/>
        <w:numPr>
          <w:ilvl w:val="0"/>
          <w:numId w:val="2"/>
        </w:numPr>
        <w:spacing w:line="300" w:lineRule="auto"/>
        <w:ind w:leftChars="0"/>
      </w:pPr>
      <w:r>
        <w:rPr>
          <w:rFonts w:hint="eastAsia"/>
        </w:rPr>
        <w:t>2008</w:t>
      </w:r>
      <w:r>
        <w:rPr>
          <w:rFonts w:hint="eastAsia"/>
        </w:rPr>
        <w:t>：金融海嘯</w:t>
      </w:r>
    </w:p>
    <w:p w:rsidR="00402B02" w:rsidRPr="00402B02" w:rsidRDefault="00402B02" w:rsidP="00402B02">
      <w:pPr>
        <w:spacing w:line="300" w:lineRule="auto"/>
        <w:jc w:val="both"/>
        <w:rPr>
          <w:rFonts w:hint="eastAsia"/>
        </w:rPr>
      </w:pPr>
      <w:r>
        <w:rPr>
          <w:rFonts w:hint="eastAsia"/>
        </w:rPr>
        <w:t>都可能造成「</w:t>
      </w:r>
      <w:r w:rsidRPr="00402B02">
        <w:t>擺盪系統</w:t>
      </w:r>
      <w:r>
        <w:rPr>
          <w:rFonts w:hint="eastAsia"/>
        </w:rPr>
        <w:t>」損失慘重。</w:t>
      </w:r>
      <w:bookmarkStart w:id="0" w:name="_GoBack"/>
      <w:bookmarkEnd w:id="0"/>
    </w:p>
    <w:sectPr w:rsidR="00402B02" w:rsidRPr="00402B02" w:rsidSect="00402B02">
      <w:headerReference w:type="default" r:id="rId8"/>
      <w:footerReference w:type="default" r:id="rId9"/>
      <w:headerReference w:type="first" r:id="rId10"/>
      <w:pgSz w:w="11906" w:h="16838"/>
      <w:pgMar w:top="1418" w:right="1418" w:bottom="1418" w:left="1418" w:header="851" w:footer="992" w:gutter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1DE9" w:rsidRDefault="00402B02" w:rsidP="00A8030C">
    <w:pPr>
      <w:pStyle w:val="a7"/>
      <w:jc w:val="center"/>
    </w:pPr>
    <w:r>
      <w:rPr>
        <w:rFonts w:hint="eastAsia"/>
      </w:rPr>
      <w:t>6-</w:t>
    </w: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>
      <w:rPr>
        <w:rStyle w:val="a9"/>
        <w:noProof/>
      </w:rPr>
      <w:t>29</w:t>
    </w:r>
    <w:r>
      <w:rPr>
        <w:rStyle w:val="a9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1DE9" w:rsidRPr="00FD32D9" w:rsidRDefault="00402B02" w:rsidP="00FD32D9">
    <w:pPr>
      <w:pStyle w:val="a3"/>
      <w:spacing w:line="300" w:lineRule="auto"/>
      <w:rPr>
        <w:rFonts w:ascii="新細明體"/>
        <w:sz w:val="20"/>
        <w:u w:val="single"/>
      </w:rPr>
    </w:pPr>
    <w:r>
      <w:rPr>
        <w:rFonts w:ascii="新細明體" w:hint="eastAsia"/>
        <w:sz w:val="20"/>
        <w:u w:val="single"/>
      </w:rPr>
      <w:t>13-</w:t>
    </w:r>
    <w:r w:rsidRPr="00FD32D9">
      <w:rPr>
        <w:rStyle w:val="a9"/>
        <w:rFonts w:ascii="Times New Roman" w:eastAsia="新細明體" w:hAnsi="Times New Roman"/>
        <w:sz w:val="20"/>
        <w:u w:val="single"/>
      </w:rPr>
      <w:fldChar w:fldCharType="begin"/>
    </w:r>
    <w:r w:rsidRPr="00FD32D9">
      <w:rPr>
        <w:rStyle w:val="a9"/>
        <w:rFonts w:ascii="Times New Roman" w:eastAsia="新細明體" w:hAnsi="Times New Roman"/>
        <w:sz w:val="20"/>
        <w:u w:val="single"/>
      </w:rPr>
      <w:instrText xml:space="preserve"> PAGE </w:instrText>
    </w:r>
    <w:r w:rsidRPr="00FD32D9">
      <w:rPr>
        <w:rStyle w:val="a9"/>
        <w:rFonts w:ascii="Times New Roman" w:eastAsia="新細明體" w:hAnsi="Times New Roman"/>
        <w:sz w:val="20"/>
        <w:u w:val="single"/>
      </w:rPr>
      <w:fldChar w:fldCharType="separate"/>
    </w:r>
    <w:r>
      <w:rPr>
        <w:rStyle w:val="a9"/>
        <w:rFonts w:ascii="Times New Roman" w:eastAsia="新細明體" w:hAnsi="Times New Roman"/>
        <w:noProof/>
        <w:sz w:val="20"/>
        <w:u w:val="single"/>
      </w:rPr>
      <w:t>29</w:t>
    </w:r>
    <w:r w:rsidRPr="00FD32D9">
      <w:rPr>
        <w:rStyle w:val="a9"/>
        <w:rFonts w:ascii="Times New Roman" w:eastAsia="新細明體" w:hAnsi="Times New Roman"/>
        <w:sz w:val="20"/>
        <w:u w:val="single"/>
      </w:rPr>
      <w:fldChar w:fldCharType="end"/>
    </w:r>
    <w:r>
      <w:rPr>
        <w:rStyle w:val="a9"/>
        <w:rFonts w:ascii="Times New Roman" w:eastAsia="新細明體" w:hAnsi="Times New Roman" w:hint="eastAsia"/>
        <w:sz w:val="20"/>
        <w:u w:val="single"/>
      </w:rPr>
      <w:t xml:space="preserve"> </w:t>
    </w:r>
    <w:r w:rsidRPr="00FD32D9">
      <w:rPr>
        <w:rFonts w:ascii="新細明體" w:hint="eastAsia"/>
        <w:sz w:val="20"/>
        <w:u w:val="single"/>
      </w:rPr>
      <w:t>第</w:t>
    </w:r>
    <w:r>
      <w:rPr>
        <w:rFonts w:ascii="新細明體" w:hint="eastAsia"/>
        <w:sz w:val="20"/>
        <w:u w:val="single"/>
      </w:rPr>
      <w:t>13</w:t>
    </w:r>
    <w:r w:rsidRPr="00FD32D9">
      <w:rPr>
        <w:rFonts w:ascii="新細明體" w:hint="eastAsia"/>
        <w:sz w:val="20"/>
        <w:u w:val="single"/>
      </w:rPr>
      <w:t>章</w:t>
    </w:r>
    <w:r>
      <w:rPr>
        <w:rFonts w:ascii="新細明體" w:hint="eastAsia"/>
        <w:sz w:val="20"/>
        <w:u w:val="single"/>
      </w:rPr>
      <w:t xml:space="preserve"> </w:t>
    </w:r>
    <w:r w:rsidRPr="00FD32D9">
      <w:rPr>
        <w:rFonts w:ascii="新細明體" w:hint="eastAsia"/>
        <w:sz w:val="20"/>
        <w:u w:val="single"/>
      </w:rPr>
      <w:t>證券投資的縱斷面分析：擇時</w:t>
    </w:r>
  </w:p>
  <w:p w:rsidR="00A41DE9" w:rsidRDefault="00402B0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1DE9" w:rsidRPr="00FD32D9" w:rsidRDefault="00402B02" w:rsidP="00FD32D9">
    <w:pPr>
      <w:pStyle w:val="a3"/>
      <w:wordWrap w:val="0"/>
      <w:spacing w:line="300" w:lineRule="auto"/>
      <w:jc w:val="right"/>
      <w:rPr>
        <w:rFonts w:ascii="新細明體"/>
        <w:sz w:val="20"/>
        <w:u w:val="single"/>
      </w:rPr>
    </w:pPr>
    <w:r w:rsidRPr="00FD32D9">
      <w:rPr>
        <w:rFonts w:ascii="新細明體" w:hint="eastAsia"/>
        <w:sz w:val="20"/>
        <w:u w:val="single"/>
      </w:rPr>
      <w:t>第</w:t>
    </w:r>
    <w:r>
      <w:rPr>
        <w:rFonts w:ascii="新細明體" w:hint="eastAsia"/>
        <w:sz w:val="20"/>
        <w:u w:val="single"/>
      </w:rPr>
      <w:t>13</w:t>
    </w:r>
    <w:r w:rsidRPr="00FD32D9">
      <w:rPr>
        <w:rFonts w:ascii="新細明體" w:hint="eastAsia"/>
        <w:sz w:val="20"/>
        <w:u w:val="single"/>
      </w:rPr>
      <w:t>章</w:t>
    </w:r>
    <w:r>
      <w:rPr>
        <w:rFonts w:ascii="新細明體" w:hint="eastAsia"/>
        <w:sz w:val="20"/>
        <w:u w:val="single"/>
      </w:rPr>
      <w:t xml:space="preserve"> </w:t>
    </w:r>
    <w:r w:rsidRPr="00FD32D9">
      <w:rPr>
        <w:rFonts w:ascii="新細明體" w:hint="eastAsia"/>
        <w:sz w:val="20"/>
        <w:u w:val="single"/>
      </w:rPr>
      <w:t>證券投資的縱斷面分析：擇時</w:t>
    </w:r>
    <w:r w:rsidRPr="00FD32D9">
      <w:rPr>
        <w:rFonts w:ascii="新細明體" w:hint="eastAsia"/>
        <w:sz w:val="20"/>
        <w:u w:val="single"/>
      </w:rPr>
      <w:t xml:space="preserve"> </w:t>
    </w:r>
    <w:r>
      <w:rPr>
        <w:rFonts w:ascii="新細明體" w:hint="eastAsia"/>
        <w:sz w:val="20"/>
        <w:u w:val="single"/>
      </w:rPr>
      <w:t>13</w:t>
    </w:r>
    <w:r w:rsidRPr="00FD32D9">
      <w:rPr>
        <w:rFonts w:ascii="新細明體" w:hint="eastAsia"/>
        <w:sz w:val="20"/>
        <w:u w:val="single"/>
      </w:rPr>
      <w:t>-</w:t>
    </w:r>
    <w:r w:rsidRPr="00FD32D9">
      <w:rPr>
        <w:rStyle w:val="a9"/>
        <w:rFonts w:ascii="Times New Roman" w:eastAsia="新細明體" w:hAnsi="Times New Roman"/>
        <w:sz w:val="20"/>
        <w:u w:val="single"/>
      </w:rPr>
      <w:fldChar w:fldCharType="begin"/>
    </w:r>
    <w:r w:rsidRPr="00FD32D9">
      <w:rPr>
        <w:rStyle w:val="a9"/>
        <w:rFonts w:ascii="Times New Roman" w:eastAsia="新細明體" w:hAnsi="Times New Roman"/>
        <w:sz w:val="20"/>
        <w:u w:val="single"/>
      </w:rPr>
      <w:instrText xml:space="preserve"> PAGE </w:instrText>
    </w:r>
    <w:r w:rsidRPr="00FD32D9">
      <w:rPr>
        <w:rStyle w:val="a9"/>
        <w:rFonts w:ascii="Times New Roman" w:eastAsia="新細明體" w:hAnsi="Times New Roman"/>
        <w:sz w:val="20"/>
        <w:u w:val="single"/>
      </w:rPr>
      <w:fldChar w:fldCharType="separate"/>
    </w:r>
    <w:r>
      <w:rPr>
        <w:rStyle w:val="a9"/>
        <w:rFonts w:ascii="Times New Roman" w:eastAsia="新細明體" w:hAnsi="Times New Roman"/>
        <w:noProof/>
        <w:sz w:val="20"/>
        <w:u w:val="single"/>
      </w:rPr>
      <w:t>1</w:t>
    </w:r>
    <w:r w:rsidRPr="00FD32D9">
      <w:rPr>
        <w:rStyle w:val="a9"/>
        <w:rFonts w:ascii="Times New Roman" w:eastAsia="新細明體" w:hAnsi="Times New Roman"/>
        <w:sz w:val="20"/>
        <w:u w:val="single"/>
      </w:rPr>
      <w:fldChar w:fldCharType="end"/>
    </w:r>
  </w:p>
  <w:p w:rsidR="00A41DE9" w:rsidRDefault="00402B0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53138E"/>
    <w:multiLevelType w:val="hybridMultilevel"/>
    <w:tmpl w:val="BE789BB8"/>
    <w:lvl w:ilvl="0" w:tplc="3DBA6F3E">
      <w:start w:val="1"/>
      <w:numFmt w:val="bullet"/>
      <w:lvlText w:val="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4CF4242"/>
    <w:multiLevelType w:val="hybridMultilevel"/>
    <w:tmpl w:val="343417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revisionView w:inkAnnotations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B02"/>
    <w:rsid w:val="00402B02"/>
    <w:rsid w:val="009923A2"/>
    <w:rsid w:val="00E3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CA1F0"/>
  <w15:chartTrackingRefBased/>
  <w15:docId w15:val="{CED8A506-D5BD-4DB6-BA20-48B921F34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2B02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402B02"/>
    <w:rPr>
      <w:rFonts w:ascii="細明體" w:eastAsia="細明體" w:hAnsi="Courier New"/>
      <w:szCs w:val="20"/>
    </w:rPr>
  </w:style>
  <w:style w:type="character" w:customStyle="1" w:styleId="a4">
    <w:name w:val="純文字 字元"/>
    <w:basedOn w:val="a0"/>
    <w:link w:val="a3"/>
    <w:rsid w:val="00402B02"/>
    <w:rPr>
      <w:rFonts w:ascii="細明體" w:eastAsia="細明體" w:hAnsi="Courier New" w:cs="Times New Roman"/>
      <w:szCs w:val="20"/>
    </w:rPr>
  </w:style>
  <w:style w:type="paragraph" w:styleId="a5">
    <w:name w:val="header"/>
    <w:basedOn w:val="a"/>
    <w:link w:val="a6"/>
    <w:rsid w:val="00402B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rsid w:val="00402B02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rsid w:val="00402B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rsid w:val="00402B02"/>
    <w:rPr>
      <w:rFonts w:ascii="Times New Roman" w:eastAsia="新細明體" w:hAnsi="Times New Roman" w:cs="Times New Roman"/>
      <w:sz w:val="20"/>
      <w:szCs w:val="20"/>
    </w:rPr>
  </w:style>
  <w:style w:type="character" w:styleId="a9">
    <w:name w:val="page number"/>
    <w:basedOn w:val="a0"/>
    <w:rsid w:val="00402B02"/>
  </w:style>
  <w:style w:type="character" w:styleId="aa">
    <w:name w:val="Hyperlink"/>
    <w:basedOn w:val="a0"/>
    <w:uiPriority w:val="99"/>
    <w:semiHidden/>
    <w:unhideWhenUsed/>
    <w:rsid w:val="00402B02"/>
    <w:rPr>
      <w:color w:val="0000FF"/>
      <w:u w:val="single"/>
    </w:rPr>
  </w:style>
  <w:style w:type="paragraph" w:styleId="ab">
    <w:name w:val="List Paragraph"/>
    <w:basedOn w:val="a"/>
    <w:uiPriority w:val="34"/>
    <w:qFormat/>
    <w:rsid w:val="00402B02"/>
    <w:pPr>
      <w:ind w:leftChars="200" w:left="48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zh.wikipedia.org/wiki/%E8%B6%85%E8%B3%A3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h.wikipedia.org/w/index.php?title=%E8%B6%85%E8%B2%B7&amp;action=edit&amp;redlink=1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zh.wikipedia.org/wiki/%E8%AD%89%E5%88%B8" TargetMode="Externa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2017-10-03T15:15:00Z</dcterms:created>
  <dcterms:modified xsi:type="dcterms:W3CDTF">2017-10-03T15:22:00Z</dcterms:modified>
</cp:coreProperties>
</file>