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LEASEUP</w:t>
      </w:r>
    </w:p>
    <w:p>
      <w:pPr>
        <w:spacing w:after="100"/>
        <w:jc w:val="center"/>
      </w:pPr>
      <w:r>
        <w:rPr>
          <w:rFonts w:ascii="Arial" w:cs="Arial" w:eastAsia="Arial" w:hAnsi="Arial"/>
          <w:color w:val="2E75B6"/>
          <w:sz w:val="28"/>
          <w:szCs w:val="28"/>
        </w:rPr>
        <w:t xml:space="preserve">The Developer’s Command Center for Lease-Up</w:t>
      </w:r>
    </w:p>
    <w:p>
      <w:pPr>
        <w:pBdr>
          <w:bottom w:val="single" w:color="2E75B6" w:sz="6" w:space="1"/>
        </w:pBdr>
        <w:spacing w:after="400"/>
        <w:jc w:val="center"/>
      </w:pPr>
      <w:r>
        <w:rPr>
          <w:sz w:val="12"/>
          <w:szCs w:val="12"/>
        </w:rPr>
        <w:t xml:space="preserve"> </w:t>
      </w:r>
    </w:p>
    <w:p>
      <w:pPr>
        <w:spacing w:after="100"/>
        <w:jc w:val="center"/>
      </w:pPr>
      <w:r>
        <w:rPr>
          <w:rFonts w:ascii="Arial" w:cs="Arial" w:eastAsia="Arial" w:hAnsi="Arial"/>
          <w:color w:val="333333"/>
          <w:sz w:val="24"/>
          <w:szCs w:val="24"/>
        </w:rPr>
        <w:t xml:space="preserve">Technical Specification &amp; Product Architecture</w:t>
      </w:r>
    </w:p>
    <w:p>
      <w:pPr>
        <w:spacing w:after="100"/>
        <w:jc w:val="center"/>
      </w:pPr>
      <w:r>
        <w:rPr>
          <w:rFonts w:ascii="Arial" w:cs="Arial" w:eastAsia="Arial" w:hAnsi="Arial"/>
          <w:color w:val="888888"/>
          <w:sz w:val="20"/>
          <w:szCs w:val="20"/>
        </w:rPr>
        <w:t xml:space="preserve">Version 1.0  |  April 2026</w:t>
      </w:r>
    </w:p>
    <w:p>
      <w:pPr>
        <w:spacing w:after="100"/>
        <w:jc w:val="center"/>
      </w:pPr>
      <w:r>
        <w:rPr>
          <w:rFonts w:ascii="Arial" w:cs="Arial" w:eastAsia="Arial" w:hAnsi="Arial"/>
          <w:color w:val="888888"/>
          <w:sz w:val="20"/>
          <w:szCs w:val="20"/>
        </w:rPr>
        <w:t xml:space="preserve">Prepared for: Justin @ Prospeer</w:t>
      </w:r>
    </w:p>
    <w:p>
      <w:pPr>
        <w:jc w:val="center"/>
      </w:pPr>
      <w:r>
        <w:rPr>
          <w:rFonts w:ascii="Arial" w:cs="Arial" w:eastAsia="Arial" w:hAnsi="Arial"/>
          <w:b/>
          <w:bCs/>
          <w:color w:val="CC000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1. Executive Summary</w:t>
      </w:r>
    </w:p>
    <w:p>
      <w:pPr>
        <w:spacing w:after="160" w:line="276"/>
      </w:pPr>
      <w:r>
        <w:rPr>
          <w:rFonts w:ascii="Arial" w:cs="Arial" w:eastAsia="Arial" w:hAnsi="Arial"/>
          <w:color w:val="333333"/>
          <w:sz w:val="21"/>
          <w:szCs w:val="21"/>
        </w:rPr>
        <w:t xml:space="preserve">LeaseUp is a standalone SaaS platform purpose-built for multifamily developers who need real-time visibility and accountability during the lease-up phase of ground-up development projects. It sits between the developer and their property management company as an independent oversight layer, capturing lead flow, tracking absorption velocity, monitoring leasing agent performance, and reconciling concession spend.</w:t>
      </w:r>
    </w:p>
    <w:p>
      <w:pPr>
        <w:spacing w:after="160" w:line="276"/>
      </w:pPr>
      <w:r>
        <w:rPr>
          <w:rFonts w:ascii="Arial" w:cs="Arial" w:eastAsia="Arial" w:hAnsi="Arial"/>
          <w:color w:val="333333"/>
          <w:sz w:val="21"/>
          <w:szCs w:val="21"/>
        </w:rPr>
        <w:t xml:space="preserve">The core insight: existing property management software (AppFolio, Buildium, RentManager) was designed for stabilized operations. These tools optimize for rent collection, maintenance workflows, and renewals. The lease-up phase is a fundamentally different problem: it’s a high-stakes sales pipeline with a ticking clock of carry costs, and developers currently have no purpose-built tool to manage it.</w:t>
      </w:r>
    </w:p>
    <w:p>
      <w:pPr>
        <w:pStyle w:val="Heading2"/>
        <w:spacing w:after="160" w:before="280"/>
      </w:pPr>
      <w:r>
        <w:rPr>
          <w:rFonts w:ascii="Arial" w:cs="Arial" w:eastAsia="Arial" w:hAnsi="Arial"/>
          <w:b/>
          <w:bCs/>
          <w:color w:val="2E75B6"/>
          <w:sz w:val="26"/>
          <w:szCs w:val="26"/>
        </w:rPr>
        <w:t xml:space="preserve">The Problem</w:t>
      </w:r>
    </w:p>
    <w:p>
      <w:pPr>
        <w:pStyle w:val="ListParagraph"/>
        <w:numPr>
          <w:ilvl w:val="0"/>
          <w:numId w:val="2"/>
        </w:numPr>
        <w:spacing w:after="100" w:line="276"/>
      </w:pPr>
      <w:r>
        <w:rPr>
          <w:rFonts w:ascii="Arial" w:cs="Arial" w:eastAsia="Arial" w:hAnsi="Arial"/>
          <w:b/>
          <w:bCs/>
          <w:color w:val="333333"/>
          <w:sz w:val="21"/>
          <w:szCs w:val="21"/>
        </w:rPr>
        <w:t xml:space="preserve">Blind oversight: </w:t>
      </w:r>
      <w:r>
        <w:rPr>
          <w:rFonts w:ascii="Arial" w:cs="Arial" w:eastAsia="Arial" w:hAnsi="Arial"/>
          <w:color w:val="333333"/>
          <w:sz w:val="21"/>
          <w:szCs w:val="21"/>
        </w:rPr>
        <w:t xml:space="preserve">Developers hand over a $20–60M asset to a management company and receive monthly PDF reports with lagging, non-actionable data.</w:t>
      </w:r>
    </w:p>
    <w:p>
      <w:pPr>
        <w:pStyle w:val="ListParagraph"/>
        <w:numPr>
          <w:ilvl w:val="0"/>
          <w:numId w:val="2"/>
        </w:numPr>
        <w:spacing w:after="100" w:line="276"/>
      </w:pPr>
      <w:r>
        <w:rPr>
          <w:rFonts w:ascii="Arial" w:cs="Arial" w:eastAsia="Arial" w:hAnsi="Arial"/>
          <w:b/>
          <w:bCs/>
          <w:color w:val="333333"/>
          <w:sz w:val="21"/>
          <w:szCs w:val="21"/>
        </w:rPr>
        <w:t xml:space="preserve">No accountability layer: </w:t>
      </w:r>
      <w:r>
        <w:rPr>
          <w:rFonts w:ascii="Arial" w:cs="Arial" w:eastAsia="Arial" w:hAnsi="Arial"/>
          <w:color w:val="333333"/>
          <w:sz w:val="21"/>
          <w:szCs w:val="21"/>
        </w:rPr>
        <w:t xml:space="preserve">When leasing agents miss follow-ups, missprice concessions, or underperform, developers don’t find out until months of carry costs have burned.</w:t>
      </w:r>
    </w:p>
    <w:p>
      <w:pPr>
        <w:pStyle w:val="ListParagraph"/>
        <w:numPr>
          <w:ilvl w:val="0"/>
          <w:numId w:val="2"/>
        </w:numPr>
        <w:spacing w:after="100" w:line="276"/>
      </w:pPr>
      <w:r>
        <w:rPr>
          <w:rFonts w:ascii="Arial" w:cs="Arial" w:eastAsia="Arial" w:hAnsi="Arial"/>
          <w:b/>
          <w:bCs/>
          <w:color w:val="333333"/>
          <w:sz w:val="21"/>
          <w:szCs w:val="21"/>
        </w:rPr>
        <w:t xml:space="preserve">Switching cost trap: </w:t>
      </w:r>
      <w:r>
        <w:rPr>
          <w:rFonts w:ascii="Arial" w:cs="Arial" w:eastAsia="Arial" w:hAnsi="Arial"/>
          <w:color w:val="333333"/>
          <w:sz w:val="21"/>
          <w:szCs w:val="21"/>
        </w:rPr>
        <w:t xml:space="preserve">Firing a management company mid-lease-up means losing all pipeline data and essentially starting over.</w:t>
      </w:r>
    </w:p>
    <w:p>
      <w:pPr>
        <w:pStyle w:val="ListParagraph"/>
        <w:numPr>
          <w:ilvl w:val="0"/>
          <w:numId w:val="2"/>
        </w:numPr>
        <w:spacing w:after="100" w:line="276"/>
      </w:pPr>
      <w:r>
        <w:rPr>
          <w:rFonts w:ascii="Arial" w:cs="Arial" w:eastAsia="Arial" w:hAnsi="Arial"/>
          <w:b/>
          <w:bCs/>
          <w:color w:val="333333"/>
          <w:sz w:val="21"/>
          <w:szCs w:val="21"/>
        </w:rPr>
        <w:t xml:space="preserve">Fragmented tools: </w:t>
      </w:r>
      <w:r>
        <w:rPr>
          <w:rFonts w:ascii="Arial" w:cs="Arial" w:eastAsia="Arial" w:hAnsi="Arial"/>
          <w:color w:val="333333"/>
          <w:sz w:val="21"/>
          <w:szCs w:val="21"/>
        </w:rPr>
        <w:t xml:space="preserve">Lead sources (Zillow, Apartments.com, property websites) feed into disconnected systems with no unified funnel view.</w:t>
      </w:r>
    </w:p>
    <w:p>
      <w:pPr>
        <w:pStyle w:val="Heading2"/>
        <w:spacing w:after="160" w:before="280"/>
      </w:pPr>
      <w:r>
        <w:rPr>
          <w:rFonts w:ascii="Arial" w:cs="Arial" w:eastAsia="Arial" w:hAnsi="Arial"/>
          <w:b/>
          <w:bCs/>
          <w:color w:val="2E75B6"/>
          <w:sz w:val="26"/>
          <w:szCs w:val="26"/>
        </w:rPr>
        <w:t xml:space="preserve">The Solution</w:t>
      </w:r>
    </w:p>
    <w:p>
      <w:pPr>
        <w:spacing w:after="160" w:line="276"/>
      </w:pPr>
      <w:r>
        <w:rPr>
          <w:rFonts w:ascii="Arial" w:cs="Arial" w:eastAsia="Arial" w:hAnsi="Arial"/>
          <w:color w:val="333333"/>
          <w:sz w:val="21"/>
          <w:szCs w:val="21"/>
        </w:rPr>
        <w:t xml:space="preserve">A developer-controlled platform that aggregates all lease-up data into a single command center, providing real-time velocity tracking, lead pipeline management, leasing agent accountability metrics, and concession reconciliation. The developer owns the data regardless of which management company operates the building.</w:t>
      </w:r>
    </w:p>
    <w:p>
      <w:r>
        <w:br w:type="page"/>
      </w:r>
    </w:p>
    <w:p>
      <w:pPr>
        <w:pStyle w:val="Heading1"/>
        <w:spacing w:after="200" w:before="360"/>
      </w:pPr>
      <w:r>
        <w:rPr>
          <w:rFonts w:ascii="Arial" w:cs="Arial" w:eastAsia="Arial" w:hAnsi="Arial"/>
          <w:b/>
          <w:bCs/>
          <w:color w:val="1B2A4A"/>
          <w:sz w:val="32"/>
          <w:szCs w:val="32"/>
        </w:rPr>
        <w:t xml:space="preserve">2. Market Opportunity</w:t>
      </w:r>
    </w:p>
    <w:p>
      <w:pPr>
        <w:pStyle w:val="Heading2"/>
        <w:spacing w:after="160" w:before="280"/>
      </w:pPr>
      <w:r>
        <w:rPr>
          <w:rFonts w:ascii="Arial" w:cs="Arial" w:eastAsia="Arial" w:hAnsi="Arial"/>
          <w:b/>
          <w:bCs/>
          <w:color w:val="2E75B6"/>
          <w:sz w:val="26"/>
          <w:szCs w:val="26"/>
        </w:rPr>
        <w:t xml:space="preserve">Market Size</w:t>
      </w:r>
    </w:p>
    <w:p>
      <w:pPr>
        <w:spacing w:after="160" w:line="276"/>
      </w:pPr>
      <w:r>
        <w:rPr>
          <w:rFonts w:ascii="Arial" w:cs="Arial" w:eastAsia="Arial" w:hAnsi="Arial"/>
          <w:color w:val="333333"/>
          <w:sz w:val="21"/>
          <w:szCs w:val="21"/>
        </w:rPr>
        <w:t xml:space="preserve">The U.S. multifamily development market represents a large and consistent addressable market for a lease-up-specific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Annual Ground-Up Starts (2025)</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~235,000–316,000 units</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Projected New Supply (2026)</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~441,000–469,000 units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Units Delivered (2025)</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~550,000 units</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Avg. Lease-Up Duration</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12–18 months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LeaseUp Pricing Model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$1/unit/month + payment processing</w:t>
            </w:r>
          </w:p>
        </w:tc>
      </w:tr>
    </w:tbl>
    <w:p>
      <w:pPr>
        <w:spacing w:after="160" w:line="276"/>
      </w:pPr>
      <w:r>
        <w:rPr>
          <w:rFonts w:ascii="Arial" w:cs="Arial" w:eastAsia="Arial" w:hAnsi="Arial"/>
          <w:color w:val="333333"/>
          <w:sz w:val="21"/>
          <w:szCs w:val="21"/>
        </w:rPr>
        <w:t xml:space="preserve"/>
      </w:r>
    </w:p>
    <w:p>
      <w:pPr>
        <w:spacing w:after="160" w:line="276"/>
      </w:pPr>
      <w:r>
        <w:rPr>
          <w:rFonts w:ascii="Arial" w:cs="Arial" w:eastAsia="Arial" w:hAnsi="Arial"/>
          <w:color w:val="333333"/>
          <w:sz w:val="21"/>
          <w:szCs w:val="21"/>
        </w:rPr>
        <w:t xml:space="preserve">At $1/unit/month, a conservative capture of 10% of new units entering lease-up annually (~45,000 units) generates $540K ARR in recurring subscription revenue alone, before payment processing fees. At 25% capture, that’s $1.35M ARR. These numbers scale significantly when factoring in payment processing volume on security deposits, first/last month’s rent, and application fees.</w:t>
      </w:r>
    </w:p>
    <w:p>
      <w:pPr>
        <w:pStyle w:val="Heading2"/>
        <w:spacing w:after="160" w:before="280"/>
      </w:pPr>
      <w:r>
        <w:rPr>
          <w:rFonts w:ascii="Arial" w:cs="Arial" w:eastAsia="Arial" w:hAnsi="Arial"/>
          <w:b/>
          <w:bCs/>
          <w:color w:val="2E75B6"/>
          <w:sz w:val="26"/>
          <w:szCs w:val="26"/>
        </w:rPr>
        <w:t xml:space="preserve">Why Now</w:t>
      </w:r>
    </w:p>
    <w:p>
      <w:pPr>
        <w:pStyle w:val="ListParagraph"/>
        <w:numPr>
          <w:ilvl w:val="0"/>
          <w:numId w:val="3"/>
        </w:numPr>
        <w:spacing w:after="100" w:line="276"/>
      </w:pPr>
      <w:r>
        <w:rPr>
          <w:rFonts w:ascii="Arial" w:cs="Arial" w:eastAsia="Arial" w:hAnsi="Arial"/>
          <w:b/>
          <w:bCs/>
          <w:color w:val="333333"/>
          <w:sz w:val="21"/>
          <w:szCs w:val="21"/>
        </w:rPr>
        <w:t xml:space="preserve">Supply wave: </w:t>
      </w:r>
      <w:r>
        <w:rPr>
          <w:rFonts w:ascii="Arial" w:cs="Arial" w:eastAsia="Arial" w:hAnsi="Arial"/>
          <w:color w:val="333333"/>
          <w:sz w:val="21"/>
          <w:szCs w:val="21"/>
        </w:rPr>
        <w:t xml:space="preserve">After historic construction starts in 2022–2023, hundreds of thousands of units are delivering in 2025–2026, creating unprecedented demand for lease-up management.</w:t>
      </w:r>
    </w:p>
    <w:p>
      <w:pPr>
        <w:pStyle w:val="ListParagraph"/>
        <w:numPr>
          <w:ilvl w:val="0"/>
          <w:numId w:val="3"/>
        </w:numPr>
        <w:spacing w:after="100" w:line="276"/>
      </w:pPr>
      <w:r>
        <w:rPr>
          <w:rFonts w:ascii="Arial" w:cs="Arial" w:eastAsia="Arial" w:hAnsi="Arial"/>
          <w:b/>
          <w:bCs/>
          <w:color w:val="333333"/>
          <w:sz w:val="21"/>
          <w:szCs w:val="21"/>
        </w:rPr>
        <w:t xml:space="preserve">Developer frustration is peaking: </w:t>
      </w:r>
      <w:r>
        <w:rPr>
          <w:rFonts w:ascii="Arial" w:cs="Arial" w:eastAsia="Arial" w:hAnsi="Arial"/>
          <w:color w:val="333333"/>
          <w:sz w:val="21"/>
          <w:szCs w:val="21"/>
        </w:rPr>
        <w:t xml:space="preserve">More buildings means more first-time developers dealing with the lease-up problem, and experienced developers demanding better tools.</w:t>
      </w:r>
    </w:p>
    <w:p>
      <w:pPr>
        <w:pStyle w:val="ListParagraph"/>
        <w:numPr>
          <w:ilvl w:val="0"/>
          <w:numId w:val="3"/>
        </w:numPr>
        <w:spacing w:after="100" w:line="276"/>
      </w:pPr>
      <w:r>
        <w:rPr>
          <w:rFonts w:ascii="Arial" w:cs="Arial" w:eastAsia="Arial" w:hAnsi="Arial"/>
          <w:b/>
          <w:bCs/>
          <w:color w:val="333333"/>
          <w:sz w:val="21"/>
          <w:szCs w:val="21"/>
        </w:rPr>
        <w:t xml:space="preserve">AI/automation maturity: </w:t>
      </w:r>
      <w:r>
        <w:rPr>
          <w:rFonts w:ascii="Arial" w:cs="Arial" w:eastAsia="Arial" w:hAnsi="Arial"/>
          <w:color w:val="333333"/>
          <w:sz w:val="21"/>
          <w:szCs w:val="21"/>
        </w:rPr>
        <w:t xml:space="preserve">Modern tools can now automate lead capture, follow-up tracking, and performance benchmarking in ways that weren’t practical or affordable 3 years ago.</w:t>
      </w:r>
    </w:p>
    <w:p>
      <w:pPr>
        <w:pStyle w:val="ListParagraph"/>
        <w:numPr>
          <w:ilvl w:val="0"/>
          <w:numId w:val="3"/>
        </w:numPr>
        <w:spacing w:after="100" w:line="276"/>
      </w:pPr>
      <w:r>
        <w:rPr>
          <w:rFonts w:ascii="Arial" w:cs="Arial" w:eastAsia="Arial" w:hAnsi="Arial"/>
          <w:b/>
          <w:bCs/>
          <w:color w:val="333333"/>
          <w:sz w:val="21"/>
          <w:szCs w:val="21"/>
        </w:rPr>
        <w:t xml:space="preserve">No incumbent owns this: </w:t>
      </w:r>
      <w:r>
        <w:rPr>
          <w:rFonts w:ascii="Arial" w:cs="Arial" w:eastAsia="Arial" w:hAnsi="Arial"/>
          <w:color w:val="333333"/>
          <w:sz w:val="21"/>
          <w:szCs w:val="21"/>
        </w:rPr>
        <w:t xml:space="preserve">AppFolio and Buildium continue to focus on stabilized portfolio management. No startup has purpose-built for the developer’s lease-up oversight problem.</w:t>
      </w:r>
    </w:p>
    <w:p>
      <w:r>
        <w:br w:type="page"/>
      </w:r>
    </w:p>
    <w:p>
      <w:pPr>
        <w:pStyle w:val="Heading1"/>
        <w:spacing w:after="200" w:before="360"/>
      </w:pPr>
      <w:r>
        <w:rPr>
          <w:rFonts w:ascii="Arial" w:cs="Arial" w:eastAsia="Arial" w:hAnsi="Arial"/>
          <w:b/>
          <w:bCs/>
          <w:color w:val="1B2A4A"/>
          <w:sz w:val="32"/>
          <w:szCs w:val="32"/>
        </w:rPr>
        <w:t xml:space="preserve">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5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25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Lease-Up Gap</w:t>
            </w:r>
          </w:p>
        </w:tc>
        <w:tc>
          <w:tcPr>
            <w:tcW w:type="dxa" w:w="25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LeaseUp Advantage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AppFolio</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Full PMS for stabilized portfolios. AI leasing assistant, maintenance, accounting.</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Designed for ongoing operations. No absorption tracking, no developer-facing oversight dashboard.</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LeaseUp gives developers their own view, independent of the PM.</w:t>
            </w:r>
          </w:p>
        </w:tc>
      </w:tr>
      <w:tr>
        <w:tc>
          <w:tcPr>
            <w:tcW w:type="dxa" w:w="1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Buildium</w:t>
            </w:r>
          </w:p>
        </w:tc>
        <w:tc>
          <w:tcPr>
            <w:tcW w:type="dxa" w:w="25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PMS for small-to-mid portfolios. Online leasing, accounting, portals.</w:t>
            </w:r>
          </w:p>
        </w:tc>
        <w:tc>
          <w:tcPr>
            <w:tcW w:type="dxa" w:w="25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Weaker vacancy advertising. No velocity tracking. No concession reconciliation.</w:t>
            </w:r>
          </w:p>
        </w:tc>
        <w:tc>
          <w:tcPr>
            <w:tcW w:type="dxa" w:w="25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LeaseUp tracks every concession, every lead, every follow-up in real time.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EliseAI</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AI-powered leasing assistant. Automates prospect communication.</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Optimizes the leasing agent’s workflow, not the developer’s oversight. No absorption modeling.</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LeaseUp is the developer’s tool, not the leasing agent’s.</w:t>
            </w:r>
          </w:p>
        </w:tc>
      </w:tr>
      <w:tr>
        <w:tc>
          <w:tcPr>
            <w:tcW w:type="dxa" w:w="1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Rentana</w:t>
            </w:r>
          </w:p>
        </w:tc>
        <w:tc>
          <w:tcPr>
            <w:tcW w:type="dxa" w:w="25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Revenue intelligence for multifamily investors. Pricing optimization.</w:t>
            </w:r>
          </w:p>
        </w:tc>
        <w:tc>
          <w:tcPr>
            <w:tcW w:type="dxa" w:w="25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Portfolio analytics for stabilized assets. Not built for the lease-up phase.</w:t>
            </w:r>
          </w:p>
        </w:tc>
        <w:tc>
          <w:tcPr>
            <w:tcW w:type="dxa" w:w="25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LeaseUp models absorption scenarios specific to new construction.</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Spreadsheets</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The actual current “tool” most developers use for lease-up tracking.</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Manual, lagging, no real-time data, no integrations, no accountability trail.</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LeaseUp replaces the spreadsheet with a living, automated system.</w:t>
            </w:r>
          </w:p>
        </w:tc>
      </w:tr>
    </w:tbl>
    <w:p>
      <w:pPr>
        <w:spacing w:after="160" w:line="276"/>
      </w:pPr>
      <w:r>
        <w:rPr>
          <w:rFonts w:ascii="Arial" w:cs="Arial" w:eastAsia="Arial" w:hAnsi="Arial"/>
          <w:color w:val="333333"/>
          <w:sz w:val="21"/>
          <w:szCs w:val="21"/>
        </w:rPr>
        <w:t xml:space="preserve"/>
      </w:r>
    </w:p>
    <w:p>
      <w:pPr>
        <w:spacing w:after="160" w:line="276"/>
      </w:pPr>
      <w:r>
        <w:rPr>
          <w:rFonts w:ascii="Arial" w:cs="Arial" w:eastAsia="Arial" w:hAnsi="Arial"/>
          <w:color w:val="333333"/>
          <w:sz w:val="21"/>
          <w:szCs w:val="21"/>
        </w:rPr>
        <w:t xml:space="preserve">The key competitive insight: LeaseUp does not compete with property management software. It competes with the spreadsheet that every developer is maintaining on the side because their PM’s software doesn’t give them what they need during lease-up.</w:t>
      </w:r>
    </w:p>
    <w:p>
      <w:r>
        <w:br w:type="page"/>
      </w:r>
    </w:p>
    <w:p>
      <w:pPr>
        <w:pStyle w:val="Heading1"/>
        <w:spacing w:after="200" w:before="360"/>
      </w:pPr>
      <w:r>
        <w:rPr>
          <w:rFonts w:ascii="Arial" w:cs="Arial" w:eastAsia="Arial" w:hAnsi="Arial"/>
          <w:b/>
          <w:bCs/>
          <w:color w:val="1B2A4A"/>
          <w:sz w:val="32"/>
          <w:szCs w:val="32"/>
        </w:rPr>
        <w:t xml:space="preserve">4. Product Architecture</w:t>
      </w:r>
    </w:p>
    <w:p>
      <w:pPr>
        <w:spacing w:after="160" w:line="276"/>
      </w:pPr>
      <w:r>
        <w:rPr>
          <w:rFonts w:ascii="Arial" w:cs="Arial" w:eastAsia="Arial" w:hAnsi="Arial"/>
          <w:color w:val="333333"/>
          <w:sz w:val="21"/>
          <w:szCs w:val="21"/>
        </w:rPr>
        <w:t xml:space="preserve">LeaseUp is structured as four interconnected layers, each addressing a specific developer pain point:</w:t>
      </w:r>
    </w:p>
    <w:p>
      <w:pPr>
        <w:pStyle w:val="Heading2"/>
        <w:spacing w:after="160" w:before="280"/>
      </w:pPr>
      <w:r>
        <w:rPr>
          <w:rFonts w:ascii="Arial" w:cs="Arial" w:eastAsia="Arial" w:hAnsi="Arial"/>
          <w:b/>
          <w:bCs/>
          <w:color w:val="2E75B6"/>
          <w:sz w:val="26"/>
          <w:szCs w:val="26"/>
        </w:rPr>
        <w:t xml:space="preserve">Layer 1: Lead Intelligence Engine</w:t>
      </w:r>
    </w:p>
    <w:p>
      <w:pPr>
        <w:spacing w:after="160" w:line="276"/>
      </w:pPr>
      <w:r>
        <w:rPr>
          <w:rFonts w:ascii="Arial" w:cs="Arial" w:eastAsia="Arial" w:hAnsi="Arial"/>
          <w:color w:val="333333"/>
          <w:sz w:val="21"/>
          <w:szCs w:val="21"/>
        </w:rPr>
        <w:t xml:space="preserve">The single source of truth for all prospect activity across the lease-up.</w:t>
      </w:r>
    </w:p>
    <w:p>
      <w:pPr>
        <w:pStyle w:val="ListParagraph"/>
        <w:numPr>
          <w:ilvl w:val="0"/>
          <w:numId w:val="4"/>
        </w:numPr>
        <w:spacing w:after="100" w:line="276"/>
      </w:pPr>
      <w:r>
        <w:rPr>
          <w:rFonts w:ascii="Arial" w:cs="Arial" w:eastAsia="Arial" w:hAnsi="Arial"/>
          <w:b/>
          <w:bCs/>
          <w:color w:val="333333"/>
          <w:sz w:val="21"/>
          <w:szCs w:val="21"/>
        </w:rPr>
        <w:t xml:space="preserve">Aggregates leads from: </w:t>
      </w:r>
      <w:r>
        <w:rPr>
          <w:rFonts w:ascii="Arial" w:cs="Arial" w:eastAsia="Arial" w:hAnsi="Arial"/>
          <w:color w:val="333333"/>
          <w:sz w:val="21"/>
          <w:szCs w:val="21"/>
        </w:rPr>
        <w:t xml:space="preserve">Zillow, Apartments.com, Rent.com, property website, walk-ins, referral sources, social media campaigns.</w:t>
      </w:r>
    </w:p>
    <w:p>
      <w:pPr>
        <w:pStyle w:val="ListParagraph"/>
        <w:numPr>
          <w:ilvl w:val="0"/>
          <w:numId w:val="4"/>
        </w:numPr>
        <w:spacing w:after="100" w:line="276"/>
      </w:pPr>
      <w:r>
        <w:rPr>
          <w:rFonts w:ascii="Arial" w:cs="Arial" w:eastAsia="Arial" w:hAnsi="Arial"/>
          <w:b/>
          <w:bCs/>
          <w:color w:val="333333"/>
          <w:sz w:val="21"/>
          <w:szCs w:val="21"/>
        </w:rPr>
        <w:t xml:space="preserve">Tracks the full funnel: </w:t>
      </w:r>
      <w:r>
        <w:rPr>
          <w:rFonts w:ascii="Arial" w:cs="Arial" w:eastAsia="Arial" w:hAnsi="Arial"/>
          <w:color w:val="333333"/>
          <w:sz w:val="21"/>
          <w:szCs w:val="21"/>
        </w:rPr>
        <w:t xml:space="preserve">Inquiry → Qualification → Tour Scheduled → Tour Completed → Application → Approved → Lease Signed → Move-In.</w:t>
      </w:r>
    </w:p>
    <w:p>
      <w:pPr>
        <w:pStyle w:val="ListParagraph"/>
        <w:numPr>
          <w:ilvl w:val="0"/>
          <w:numId w:val="4"/>
        </w:numPr>
        <w:spacing w:after="100" w:line="276"/>
      </w:pPr>
      <w:r>
        <w:rPr>
          <w:rFonts w:ascii="Arial" w:cs="Arial" w:eastAsia="Arial" w:hAnsi="Arial"/>
          <w:b/>
          <w:bCs/>
          <w:color w:val="333333"/>
          <w:sz w:val="21"/>
          <w:szCs w:val="21"/>
        </w:rPr>
        <w:t xml:space="preserve">Source attribution: </w:t>
      </w:r>
      <w:r>
        <w:rPr>
          <w:rFonts w:ascii="Arial" w:cs="Arial" w:eastAsia="Arial" w:hAnsi="Arial"/>
          <w:color w:val="333333"/>
          <w:sz w:val="21"/>
          <w:szCs w:val="21"/>
        </w:rPr>
        <w:t xml:space="preserve">Ties every signed lease back to its original lead source and marketing spend, enabling real ROI calculation on advertising.</w:t>
      </w:r>
    </w:p>
    <w:p>
      <w:pPr>
        <w:pStyle w:val="ListParagraph"/>
        <w:numPr>
          <w:ilvl w:val="0"/>
          <w:numId w:val="4"/>
        </w:numPr>
        <w:spacing w:after="100" w:line="276"/>
      </w:pPr>
      <w:r>
        <w:rPr>
          <w:rFonts w:ascii="Arial" w:cs="Arial" w:eastAsia="Arial" w:hAnsi="Arial"/>
          <w:b/>
          <w:bCs/>
          <w:color w:val="333333"/>
          <w:sz w:val="21"/>
          <w:szCs w:val="21"/>
        </w:rPr>
        <w:t xml:space="preserve">Automated follow-up tracking: </w:t>
      </w:r>
      <w:r>
        <w:rPr>
          <w:rFonts w:ascii="Arial" w:cs="Arial" w:eastAsia="Arial" w:hAnsi="Arial"/>
          <w:color w:val="333333"/>
          <w:sz w:val="21"/>
          <w:szCs w:val="21"/>
        </w:rPr>
        <w:t xml:space="preserve">Flags leads that haven’t been contacted within configurable SLA windows (e.g., 15 minutes for new inquiries, 24 hours for post-tour follow-up).</w:t>
      </w:r>
    </w:p>
    <w:p>
      <w:pPr>
        <w:pStyle w:val="Heading2"/>
        <w:spacing w:after="160" w:before="280"/>
      </w:pPr>
      <w:r>
        <w:rPr>
          <w:rFonts w:ascii="Arial" w:cs="Arial" w:eastAsia="Arial" w:hAnsi="Arial"/>
          <w:b/>
          <w:bCs/>
          <w:color w:val="2E75B6"/>
          <w:sz w:val="26"/>
          <w:szCs w:val="26"/>
        </w:rPr>
        <w:t xml:space="preserve">Layer 2: Velocity Dashboard</w:t>
      </w:r>
    </w:p>
    <w:p>
      <w:pPr>
        <w:spacing w:after="160" w:line="276"/>
      </w:pPr>
      <w:r>
        <w:rPr>
          <w:rFonts w:ascii="Arial" w:cs="Arial" w:eastAsia="Arial" w:hAnsi="Arial"/>
          <w:color w:val="333333"/>
          <w:sz w:val="21"/>
          <w:szCs w:val="21"/>
        </w:rPr>
        <w:t xml:space="preserve">The developer’s command center, answering the question: are we on pace?</w:t>
      </w:r>
    </w:p>
    <w:p>
      <w:pPr>
        <w:pStyle w:val="ListParagraph"/>
        <w:numPr>
          <w:ilvl w:val="0"/>
          <w:numId w:val="5"/>
        </w:numPr>
        <w:spacing w:after="100" w:line="276"/>
      </w:pPr>
      <w:r>
        <w:rPr>
          <w:rFonts w:ascii="Arial" w:cs="Arial" w:eastAsia="Arial" w:hAnsi="Arial"/>
          <w:b/>
          <w:bCs/>
          <w:color w:val="333333"/>
          <w:sz w:val="21"/>
          <w:szCs w:val="21"/>
        </w:rPr>
        <w:t xml:space="preserve">Absorption schedule vs. actuals: </w:t>
      </w:r>
      <w:r>
        <w:rPr>
          <w:rFonts w:ascii="Arial" w:cs="Arial" w:eastAsia="Arial" w:hAnsi="Arial"/>
          <w:color w:val="333333"/>
          <w:sz w:val="21"/>
          <w:szCs w:val="21"/>
        </w:rPr>
        <w:t xml:space="preserve">Visual comparison of projected lease-up timeline against signed leases, updated in real time.</w:t>
      </w:r>
    </w:p>
    <w:p>
      <w:pPr>
        <w:pStyle w:val="ListParagraph"/>
        <w:numPr>
          <w:ilvl w:val="0"/>
          <w:numId w:val="5"/>
        </w:numPr>
        <w:spacing w:after="100" w:line="276"/>
      </w:pPr>
      <w:r>
        <w:rPr>
          <w:rFonts w:ascii="Arial" w:cs="Arial" w:eastAsia="Arial" w:hAnsi="Arial"/>
          <w:b/>
          <w:bCs/>
          <w:color w:val="333333"/>
          <w:sz w:val="21"/>
          <w:szCs w:val="21"/>
        </w:rPr>
        <w:t xml:space="preserve">Carry cost burn rate: </w:t>
      </w:r>
      <w:r>
        <w:rPr>
          <w:rFonts w:ascii="Arial" w:cs="Arial" w:eastAsia="Arial" w:hAnsi="Arial"/>
          <w:color w:val="333333"/>
          <w:sz w:val="21"/>
          <w:szCs w:val="21"/>
        </w:rPr>
        <w:t xml:space="preserve">Shows daily/weekly cost of vacancy based on the developer’s actual debt service, taxes, insurance, and operating expenses.</w:t>
      </w:r>
    </w:p>
    <w:p>
      <w:pPr>
        <w:pStyle w:val="ListParagraph"/>
        <w:numPr>
          <w:ilvl w:val="0"/>
          <w:numId w:val="5"/>
        </w:numPr>
        <w:spacing w:after="100" w:line="276"/>
      </w:pPr>
      <w:r>
        <w:rPr>
          <w:rFonts w:ascii="Arial" w:cs="Arial" w:eastAsia="Arial" w:hAnsi="Arial"/>
          <w:b/>
          <w:bCs/>
          <w:color w:val="333333"/>
          <w:sz w:val="21"/>
          <w:szCs w:val="21"/>
        </w:rPr>
        <w:t xml:space="preserve">Stabilization projection: </w:t>
      </w:r>
      <w:r>
        <w:rPr>
          <w:rFonts w:ascii="Arial" w:cs="Arial" w:eastAsia="Arial" w:hAnsi="Arial"/>
          <w:color w:val="333333"/>
          <w:sz w:val="21"/>
          <w:szCs w:val="21"/>
        </w:rPr>
        <w:t xml:space="preserve">AI-driven forecast of when the property will hit 93–95% occupancy based on current velocity.</w:t>
      </w:r>
    </w:p>
    <w:p>
      <w:pPr>
        <w:pStyle w:val="ListParagraph"/>
        <w:numPr>
          <w:ilvl w:val="0"/>
          <w:numId w:val="5"/>
        </w:numPr>
        <w:spacing w:after="100" w:line="276"/>
      </w:pPr>
      <w:r>
        <w:rPr>
          <w:rFonts w:ascii="Arial" w:cs="Arial" w:eastAsia="Arial" w:hAnsi="Arial"/>
          <w:b/>
          <w:bCs/>
          <w:color w:val="333333"/>
          <w:sz w:val="21"/>
          <w:szCs w:val="21"/>
        </w:rPr>
        <w:t xml:space="preserve">Scenario modeling: </w:t>
      </w:r>
      <w:r>
        <w:rPr>
          <w:rFonts w:ascii="Arial" w:cs="Arial" w:eastAsia="Arial" w:hAnsi="Arial"/>
          <w:color w:val="333333"/>
          <w:sz w:val="21"/>
          <w:szCs w:val="21"/>
        </w:rPr>
        <w:t xml:space="preserve">What happens if we increase concessions by $500/unit? Reduce asking rent by 3%? Add a second leasing agent? The dashboard models the impact on timeline and effective revenue.</w:t>
      </w:r>
    </w:p>
    <w:p>
      <w:pPr>
        <w:pStyle w:val="Heading2"/>
        <w:spacing w:after="160" w:before="280"/>
      </w:pPr>
      <w:r>
        <w:rPr>
          <w:rFonts w:ascii="Arial" w:cs="Arial" w:eastAsia="Arial" w:hAnsi="Arial"/>
          <w:b/>
          <w:bCs/>
          <w:color w:val="2E75B6"/>
          <w:sz w:val="26"/>
          <w:szCs w:val="26"/>
        </w:rPr>
        <w:t xml:space="preserve">Layer 3: Accountability Engine</w:t>
      </w:r>
    </w:p>
    <w:p>
      <w:pPr>
        <w:spacing w:after="160" w:line="276"/>
      </w:pPr>
      <w:r>
        <w:rPr>
          <w:rFonts w:ascii="Arial" w:cs="Arial" w:eastAsia="Arial" w:hAnsi="Arial"/>
          <w:color w:val="333333"/>
          <w:sz w:val="21"/>
          <w:szCs w:val="21"/>
        </w:rPr>
        <w:t xml:space="preserve">The transparency layer that holds management companies and leasing agents accountable.</w:t>
      </w:r>
    </w:p>
    <w:p>
      <w:pPr>
        <w:pStyle w:val="ListParagraph"/>
        <w:numPr>
          <w:ilvl w:val="0"/>
          <w:numId w:val="2"/>
        </w:numPr>
        <w:spacing w:after="100" w:line="276"/>
      </w:pPr>
      <w:r>
        <w:rPr>
          <w:rFonts w:ascii="Arial" w:cs="Arial" w:eastAsia="Arial" w:hAnsi="Arial"/>
          <w:color w:val="333333"/>
          <w:sz w:val="21"/>
          <w:szCs w:val="21"/>
        </w:rPr>
        <w:t xml:space="preserve">Response time tracking on every inquiry (time to first contact, follow-up cadence).</w:t>
      </w:r>
    </w:p>
    <w:p>
      <w:pPr>
        <w:pStyle w:val="ListParagraph"/>
        <w:numPr>
          <w:ilvl w:val="0"/>
          <w:numId w:val="2"/>
        </w:numPr>
        <w:spacing w:after="100" w:line="276"/>
      </w:pPr>
      <w:r>
        <w:rPr>
          <w:rFonts w:ascii="Arial" w:cs="Arial" w:eastAsia="Arial" w:hAnsi="Arial"/>
          <w:color w:val="333333"/>
          <w:sz w:val="21"/>
          <w:szCs w:val="21"/>
        </w:rPr>
        <w:t xml:space="preserve">Tour conversion rates by agent (who’s converting tours to applications, who isn’t).</w:t>
      </w:r>
    </w:p>
    <w:p>
      <w:pPr>
        <w:pStyle w:val="ListParagraph"/>
        <w:numPr>
          <w:ilvl w:val="0"/>
          <w:numId w:val="2"/>
        </w:numPr>
        <w:spacing w:after="100" w:line="276"/>
      </w:pPr>
      <w:r>
        <w:rPr>
          <w:rFonts w:ascii="Arial" w:cs="Arial" w:eastAsia="Arial" w:hAnsi="Arial"/>
          <w:color w:val="333333"/>
          <w:sz w:val="21"/>
          <w:szCs w:val="21"/>
        </w:rPr>
        <w:t xml:space="preserve">Application processing speed (time from application submitted to approval/denial).</w:t>
      </w:r>
    </w:p>
    <w:p>
      <w:pPr>
        <w:pStyle w:val="ListParagraph"/>
        <w:numPr>
          <w:ilvl w:val="0"/>
          <w:numId w:val="2"/>
        </w:numPr>
        <w:spacing w:after="100" w:line="276"/>
      </w:pPr>
      <w:r>
        <w:rPr>
          <w:rFonts w:ascii="Arial" w:cs="Arial" w:eastAsia="Arial" w:hAnsi="Arial"/>
          <w:color w:val="333333"/>
          <w:sz w:val="21"/>
          <w:szCs w:val="21"/>
        </w:rPr>
        <w:t xml:space="preserve">Lease execution timeline (application approved to lease signed to move-in).</w:t>
      </w:r>
    </w:p>
    <w:p>
      <w:pPr>
        <w:pStyle w:val="ListParagraph"/>
        <w:numPr>
          <w:ilvl w:val="0"/>
          <w:numId w:val="2"/>
        </w:numPr>
        <w:spacing w:after="100" w:line="276"/>
      </w:pPr>
      <w:r>
        <w:rPr>
          <w:rFonts w:ascii="Arial" w:cs="Arial" w:eastAsia="Arial" w:hAnsi="Arial"/>
          <w:color w:val="333333"/>
          <w:sz w:val="21"/>
          <w:szCs w:val="21"/>
        </w:rPr>
        <w:t xml:space="preserve">Benchmarking across properties and management companies (over time, as data accumulates).</w:t>
      </w:r>
    </w:p>
    <w:p>
      <w:pPr>
        <w:pStyle w:val="Heading2"/>
        <w:spacing w:after="160" w:before="280"/>
      </w:pPr>
      <w:r>
        <w:rPr>
          <w:rFonts w:ascii="Arial" w:cs="Arial" w:eastAsia="Arial" w:hAnsi="Arial"/>
          <w:b/>
          <w:bCs/>
          <w:color w:val="2E75B6"/>
          <w:sz w:val="26"/>
          <w:szCs w:val="26"/>
        </w:rPr>
        <w:t xml:space="preserve">Layer 4: Financial Reconciliation</w:t>
      </w:r>
    </w:p>
    <w:p>
      <w:pPr>
        <w:spacing w:after="160" w:line="276"/>
      </w:pPr>
      <w:r>
        <w:rPr>
          <w:rFonts w:ascii="Arial" w:cs="Arial" w:eastAsia="Arial" w:hAnsi="Arial"/>
          <w:color w:val="333333"/>
          <w:sz w:val="21"/>
          <w:szCs w:val="21"/>
        </w:rPr>
        <w:t xml:space="preserve">Real-time visibility into the financial decisions being made during lease-up.</w:t>
      </w:r>
    </w:p>
    <w:p>
      <w:pPr>
        <w:pStyle w:val="ListParagraph"/>
        <w:numPr>
          <w:ilvl w:val="0"/>
          <w:numId w:val="2"/>
        </w:numPr>
        <w:spacing w:after="100" w:line="276"/>
      </w:pPr>
      <w:r>
        <w:rPr>
          <w:rFonts w:ascii="Arial" w:cs="Arial" w:eastAsia="Arial" w:hAnsi="Arial"/>
          <w:color w:val="333333"/>
          <w:sz w:val="21"/>
          <w:szCs w:val="21"/>
        </w:rPr>
        <w:t xml:space="preserve">Concession tracking by unit, type, and amount (free rent, reduced deposit, parking, etc.).</w:t>
      </w:r>
    </w:p>
    <w:p>
      <w:pPr>
        <w:pStyle w:val="ListParagraph"/>
        <w:numPr>
          <w:ilvl w:val="0"/>
          <w:numId w:val="2"/>
        </w:numPr>
        <w:spacing w:after="100" w:line="276"/>
      </w:pPr>
      <w:r>
        <w:rPr>
          <w:rFonts w:ascii="Arial" w:cs="Arial" w:eastAsia="Arial" w:hAnsi="Arial"/>
          <w:color w:val="333333"/>
          <w:sz w:val="21"/>
          <w:szCs w:val="21"/>
        </w:rPr>
        <w:t xml:space="preserve">Effective rent vs. asking rent dashboard showing true revenue per unit.</w:t>
      </w:r>
    </w:p>
    <w:p>
      <w:pPr>
        <w:pStyle w:val="ListParagraph"/>
        <w:numPr>
          <w:ilvl w:val="0"/>
          <w:numId w:val="2"/>
        </w:numPr>
        <w:spacing w:after="100" w:line="276"/>
      </w:pPr>
      <w:r>
        <w:rPr>
          <w:rFonts w:ascii="Arial" w:cs="Arial" w:eastAsia="Arial" w:hAnsi="Arial"/>
          <w:color w:val="333333"/>
          <w:sz w:val="21"/>
          <w:szCs w:val="21"/>
        </w:rPr>
        <w:t xml:space="preserve">Concession budget burn rate against the developer’s approved concession package.</w:t>
      </w:r>
    </w:p>
    <w:p>
      <w:pPr>
        <w:pStyle w:val="ListParagraph"/>
        <w:numPr>
          <w:ilvl w:val="0"/>
          <w:numId w:val="2"/>
        </w:numPr>
        <w:spacing w:after="100" w:line="276"/>
      </w:pPr>
      <w:r>
        <w:rPr>
          <w:rFonts w:ascii="Arial" w:cs="Arial" w:eastAsia="Arial" w:hAnsi="Arial"/>
          <w:color w:val="333333"/>
          <w:sz w:val="21"/>
          <w:szCs w:val="21"/>
        </w:rPr>
        <w:t xml:space="preserve">Payment processing integration for application fees, deposits, and first month’s rent.</w:t>
      </w:r>
    </w:p>
    <w:p>
      <w:r>
        <w:br w:type="page"/>
      </w:r>
    </w:p>
    <w:p>
      <w:pPr>
        <w:pStyle w:val="Heading1"/>
        <w:spacing w:after="200" w:before="360"/>
      </w:pPr>
      <w:r>
        <w:rPr>
          <w:rFonts w:ascii="Arial" w:cs="Arial" w:eastAsia="Arial" w:hAnsi="Arial"/>
          <w:b/>
          <w:bCs/>
          <w:color w:val="1B2A4A"/>
          <w:sz w:val="32"/>
          <w:szCs w:val="32"/>
        </w:rPr>
        <w:t xml:space="preserve">5. Recommended Tech Stack</w:t>
      </w:r>
    </w:p>
    <w:p>
      <w:pPr>
        <w:spacing w:after="160" w:line="276"/>
      </w:pPr>
      <w:r>
        <w:rPr>
          <w:rFonts w:ascii="Arial" w:cs="Arial" w:eastAsia="Arial" w:hAnsi="Arial"/>
          <w:color w:val="333333"/>
          <w:sz w:val="21"/>
          <w:szCs w:val="21"/>
        </w:rPr>
        <w:t xml:space="preserve">This stack is optimized for a solo founder with some coding experience. It maximizes what you can build yourself by leveraging managed services, minimizing infrastructure complexity, and using a single language (JavaScript/TypeScript) across the entire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8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08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Frontend</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Next.js 14+ (React)</w:t>
            </w:r>
          </w:p>
        </w:tc>
        <w:tc>
          <w:tcPr>
            <w:tcW w:type="dxa" w:w="40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Full-stack framework. Server-side rendering, API routes, and frontend in one project. Massive ecosystem and community support.</w:t>
            </w:r>
          </w:p>
        </w:tc>
      </w:tr>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Styling</w:t>
            </w:r>
          </w:p>
        </w:tc>
        <w:tc>
          <w:tcPr>
            <w:tcW w:type="dxa" w:w="30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Tailwind CSS + shadcn/ui</w:t>
            </w:r>
          </w:p>
        </w:tc>
        <w:tc>
          <w:tcPr>
            <w:tcW w:type="dxa" w:w="40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Pre-built, professional UI components. Looks polished without a designer. Highly customizable.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Backend / API</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Next.js API Routes + Supabase</w:t>
            </w:r>
          </w:p>
        </w:tc>
        <w:tc>
          <w:tcPr>
            <w:tcW w:type="dxa" w:w="40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Supabase provides Postgres database, auth, real-time subscriptions, and storage out of the box. No separate backend to manage.</w:t>
            </w:r>
          </w:p>
        </w:tc>
      </w:tr>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Database</w:t>
            </w:r>
          </w:p>
        </w:tc>
        <w:tc>
          <w:tcPr>
            <w:tcW w:type="dxa" w:w="30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PostgreSQL (via Supabase)</w:t>
            </w:r>
          </w:p>
        </w:tc>
        <w:tc>
          <w:tcPr>
            <w:tcW w:type="dxa" w:w="40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Industry-standard relational DB. Row-level security built in. Scales well. Free tier generous enough for MVP.</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Auth</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Supabase Auth</w:t>
            </w:r>
          </w:p>
        </w:tc>
        <w:tc>
          <w:tcPr>
            <w:tcW w:type="dxa" w:w="40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Email/password + magic link + SSO support. Role-based access (developer vs. PM vs. leasing agent) via Postgres policies.</w:t>
            </w:r>
          </w:p>
        </w:tc>
      </w:tr>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Payments</w:t>
            </w:r>
          </w:p>
        </w:tc>
        <w:tc>
          <w:tcPr>
            <w:tcW w:type="dxa" w:w="30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Stripe Connect</w:t>
            </w:r>
          </w:p>
        </w:tc>
        <w:tc>
          <w:tcPr>
            <w:tcW w:type="dxa" w:w="40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Handles platform billing ($1/unit subscription) AND tenant payment processing. Split payments to collect your fee on each transaction.</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Hosting</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Vercel</w:t>
            </w:r>
          </w:p>
        </w:tc>
        <w:tc>
          <w:tcPr>
            <w:tcW w:type="dxa" w:w="40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Native Next.js host. Auto-scaling, edge functions, zero DevOps. Free tier works for early development.</w:t>
            </w:r>
          </w:p>
        </w:tc>
      </w:tr>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Email / Notifications</w:t>
            </w:r>
          </w:p>
        </w:tc>
        <w:tc>
          <w:tcPr>
            <w:tcW w:type="dxa" w:w="30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Resend + React Email</w:t>
            </w:r>
          </w:p>
        </w:tc>
        <w:tc>
          <w:tcPr>
            <w:tcW w:type="dxa" w:w="40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Modern email API. Build templates in React (same skills as your frontend). Alerts for missed follow-ups, velocity drops.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Charts / Viz</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Recharts or Tremor</w:t>
            </w:r>
          </w:p>
        </w:tc>
        <w:tc>
          <w:tcPr>
            <w:tcW w:type="dxa" w:w="40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React-native charting libraries. Absorption curves, funnel charts, velocity graphs. Tremor has pre-built dashboard components.</w:t>
            </w:r>
          </w:p>
        </w:tc>
      </w:tr>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ILS Integration</w:t>
            </w:r>
          </w:p>
        </w:tc>
        <w:tc>
          <w:tcPr>
            <w:tcW w:type="dxa" w:w="30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Zillow / Apartments.com APIs + Webhooks</w:t>
            </w:r>
          </w:p>
        </w:tc>
        <w:tc>
          <w:tcPr>
            <w:tcW w:type="dxa" w:w="40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Pull leads from listing services. Webhook-based for real-time capture. Supplement with email parsing for services without APIs.</w:t>
            </w:r>
          </w:p>
        </w:tc>
      </w:tr>
    </w:tbl>
    <w:p>
      <w:pPr>
        <w:spacing w:after="160" w:line="276"/>
      </w:pPr>
      <w:r>
        <w:rPr>
          <w:rFonts w:ascii="Arial" w:cs="Arial" w:eastAsia="Arial" w:hAnsi="Arial"/>
          <w:color w:val="333333"/>
          <w:sz w:val="21"/>
          <w:szCs w:val="21"/>
        </w:rPr>
        <w:t xml:space="preserve"/>
      </w:r>
    </w:p>
    <w:p>
      <w:pPr>
        <w:spacing w:after="120" w:before="200"/>
      </w:pPr>
      <w:r>
        <w:rPr>
          <w:rFonts w:ascii="Arial" w:cs="Arial" w:eastAsia="Arial" w:hAnsi="Arial"/>
          <w:b/>
          <w:bCs/>
          <w:color w:val="1B2A4A"/>
          <w:sz w:val="22"/>
          <w:szCs w:val="22"/>
        </w:rPr>
        <w:t xml:space="preserve">Why This Stack Works for You</w:t>
      </w:r>
    </w:p>
    <w:p>
      <w:pPr>
        <w:spacing w:after="160" w:line="276"/>
      </w:pPr>
      <w:r>
        <w:rPr>
          <w:rFonts w:ascii="Arial" w:cs="Arial" w:eastAsia="Arial" w:hAnsi="Arial"/>
          <w:color w:val="333333"/>
          <w:sz w:val="21"/>
          <w:szCs w:val="21"/>
        </w:rPr>
        <w:t xml:space="preserve">Everything is JavaScript/TypeScript. You learn one language and can work across the entire application. Supabase eliminates the need to build authentication, database management, and real-time features from scratch. Vercel eliminates DevOps entirely. Stripe Connect handles the complex payment processing split between your platform fee and tenant payments. You can realistically get an MVP running with this stack in 8–12 weeks of focused work.</w:t>
      </w:r>
    </w:p>
    <w:p>
      <w:r>
        <w:br w:type="page"/>
      </w:r>
    </w:p>
    <w:p>
      <w:pPr>
        <w:pStyle w:val="Heading1"/>
        <w:spacing w:after="200" w:before="360"/>
      </w:pPr>
      <w:r>
        <w:rPr>
          <w:rFonts w:ascii="Arial" w:cs="Arial" w:eastAsia="Arial" w:hAnsi="Arial"/>
          <w:b/>
          <w:bCs/>
          <w:color w:val="1B2A4A"/>
          <w:sz w:val="32"/>
          <w:szCs w:val="32"/>
        </w:rPr>
        <w:t xml:space="preserve">6. Database Schema (Core Entities)</w:t>
      </w:r>
    </w:p>
    <w:p>
      <w:pPr>
        <w:spacing w:after="160" w:line="276"/>
      </w:pPr>
      <w:r>
        <w:rPr>
          <w:rFonts w:ascii="Arial" w:cs="Arial" w:eastAsia="Arial" w:hAnsi="Arial"/>
          <w:color w:val="333333"/>
          <w:sz w:val="21"/>
          <w:szCs w:val="21"/>
        </w:rPr>
        <w:t xml:space="preserve">Below is the core data model. Supabase/Postgres handles all of this natively with row-level security policies to control who sees what.</w:t>
      </w:r>
    </w:p>
    <w:p>
      <w:pPr>
        <w:pStyle w:val="Heading2"/>
        <w:spacing w:after="160" w:before="280"/>
      </w:pPr>
      <w:r>
        <w:rPr>
          <w:rFonts w:ascii="Arial" w:cs="Arial" w:eastAsia="Arial" w:hAnsi="Arial"/>
          <w:b/>
          <w:bCs/>
          <w:color w:val="2E75B6"/>
          <w:sz w:val="26"/>
          <w:szCs w:val="26"/>
        </w:rPr>
        <w:t xml:space="preserve">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6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46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id</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UUID</w:t>
            </w:r>
          </w:p>
        </w:tc>
        <w:tc>
          <w:tcPr>
            <w:tcW w:type="dxa" w:w="5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Primary key</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developer_id</w:t>
            </w:r>
          </w:p>
        </w:tc>
        <w:tc>
          <w:tcPr>
            <w:tcW w:type="dxa" w:w="1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UUID (FK)</w:t>
            </w:r>
          </w:p>
        </w:tc>
        <w:tc>
          <w:tcPr>
            <w:tcW w:type="dxa" w:w="54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Links to the developer/owner account</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name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text</w:t>
            </w:r>
          </w:p>
        </w:tc>
        <w:tc>
          <w:tcPr>
            <w:tcW w:type="dxa" w:w="5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Property name</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total_units</w:t>
            </w:r>
          </w:p>
        </w:tc>
        <w:tc>
          <w:tcPr>
            <w:tcW w:type="dxa" w:w="1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integer</w:t>
            </w:r>
          </w:p>
        </w:tc>
        <w:tc>
          <w:tcPr>
            <w:tcW w:type="dxa" w:w="54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Total leasable units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target_occupancy</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decimal</w:t>
            </w:r>
          </w:p>
        </w:tc>
        <w:tc>
          <w:tcPr>
            <w:tcW w:type="dxa" w:w="5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Stabilization target (typically 93–95%)</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lease_start_date</w:t>
            </w:r>
          </w:p>
        </w:tc>
        <w:tc>
          <w:tcPr>
            <w:tcW w:type="dxa" w:w="1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date</w:t>
            </w:r>
          </w:p>
        </w:tc>
        <w:tc>
          <w:tcPr>
            <w:tcW w:type="dxa" w:w="54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When leasing begins (first unit available)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projected_stabilization</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date</w:t>
            </w:r>
          </w:p>
        </w:tc>
        <w:tc>
          <w:tcPr>
            <w:tcW w:type="dxa" w:w="5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Target date for reaching stabilized occupancy</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monthly_carry_cost</w:t>
            </w:r>
          </w:p>
        </w:tc>
        <w:tc>
          <w:tcPr>
            <w:tcW w:type="dxa" w:w="1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decimal</w:t>
            </w:r>
          </w:p>
        </w:tc>
        <w:tc>
          <w:tcPr>
            <w:tcW w:type="dxa" w:w="54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Total monthly cost (debt service + taxes + insurance + OpEx)</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concession_budget</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decimal</w:t>
            </w:r>
          </w:p>
        </w:tc>
        <w:tc>
          <w:tcPr>
            <w:tcW w:type="dxa" w:w="5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Total approved concession budget for the lease-up</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management_company_id</w:t>
            </w:r>
          </w:p>
        </w:tc>
        <w:tc>
          <w:tcPr>
            <w:tcW w:type="dxa" w:w="1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UUID (FK)</w:t>
            </w:r>
          </w:p>
        </w:tc>
        <w:tc>
          <w:tcPr>
            <w:tcW w:type="dxa" w:w="54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Current PM company (can change without losing data)</w:t>
            </w:r>
          </w:p>
        </w:tc>
      </w:tr>
    </w:tbl>
    <w:p>
      <w:pPr>
        <w:spacing w:after="160" w:line="276"/>
      </w:pPr>
      <w:r>
        <w:rPr>
          <w:rFonts w:ascii="Arial" w:cs="Arial" w:eastAsia="Arial" w:hAnsi="Arial"/>
          <w:color w:val="333333"/>
          <w:sz w:val="21"/>
          <w:szCs w:val="21"/>
        </w:rPr>
        <w:t xml:space="preserve"/>
      </w:r>
    </w:p>
    <w:p>
      <w:pPr>
        <w:pStyle w:val="Heading2"/>
        <w:spacing w:after="160" w:before="280"/>
      </w:pPr>
      <w:r>
        <w:rPr>
          <w:rFonts w:ascii="Arial" w:cs="Arial" w:eastAsia="Arial" w:hAnsi="Arial"/>
          <w:b/>
          <w:bCs/>
          <w:color w:val="2E75B6"/>
          <w:sz w:val="26"/>
          <w:szCs w:val="26"/>
        </w:rPr>
        <w:t xml:space="preserve">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6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46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id</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UUID</w:t>
            </w:r>
          </w:p>
        </w:tc>
        <w:tc>
          <w:tcPr>
            <w:tcW w:type="dxa" w:w="5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Primary key</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property_id</w:t>
            </w:r>
          </w:p>
        </w:tc>
        <w:tc>
          <w:tcPr>
            <w:tcW w:type="dxa" w:w="1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UUID (FK)</w:t>
            </w:r>
          </w:p>
        </w:tc>
        <w:tc>
          <w:tcPr>
            <w:tcW w:type="dxa" w:w="54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Parent property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unit_number</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text</w:t>
            </w:r>
          </w:p>
        </w:tc>
        <w:tc>
          <w:tcPr>
            <w:tcW w:type="dxa" w:w="5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Unit identifier (e.g., 301, A-12)</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floor_plan</w:t>
            </w:r>
          </w:p>
        </w:tc>
        <w:tc>
          <w:tcPr>
            <w:tcW w:type="dxa" w:w="1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text</w:t>
            </w:r>
          </w:p>
        </w:tc>
        <w:tc>
          <w:tcPr>
            <w:tcW w:type="dxa" w:w="54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Studio, 1BR, 2BR, etc.</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sq_ft</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integer</w:t>
            </w:r>
          </w:p>
        </w:tc>
        <w:tc>
          <w:tcPr>
            <w:tcW w:type="dxa" w:w="5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Square footage</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asking_rent</w:t>
            </w:r>
          </w:p>
        </w:tc>
        <w:tc>
          <w:tcPr>
            <w:tcW w:type="dxa" w:w="1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decimal</w:t>
            </w:r>
          </w:p>
        </w:tc>
        <w:tc>
          <w:tcPr>
            <w:tcW w:type="dxa" w:w="54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Listed monthly rent</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effective_rent</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decimal</w:t>
            </w:r>
          </w:p>
        </w:tc>
        <w:tc>
          <w:tcPr>
            <w:tcW w:type="dxa" w:w="5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Actual rent after concessions (calculated)</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status</w:t>
            </w:r>
          </w:p>
        </w:tc>
        <w:tc>
          <w:tcPr>
            <w:tcW w:type="dxa" w:w="1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enum</w:t>
            </w:r>
          </w:p>
        </w:tc>
        <w:tc>
          <w:tcPr>
            <w:tcW w:type="dxa" w:w="54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available | reserved | applied | leased | occupied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available_date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date</w:t>
            </w:r>
          </w:p>
        </w:tc>
        <w:tc>
          <w:tcPr>
            <w:tcW w:type="dxa" w:w="5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When unit becomes ready for move-in</w:t>
            </w:r>
          </w:p>
        </w:tc>
      </w:tr>
    </w:tbl>
    <w:p>
      <w:pPr>
        <w:spacing w:after="160" w:line="276"/>
      </w:pPr>
      <w:r>
        <w:rPr>
          <w:rFonts w:ascii="Arial" w:cs="Arial" w:eastAsia="Arial" w:hAnsi="Arial"/>
          <w:color w:val="333333"/>
          <w:sz w:val="21"/>
          <w:szCs w:val="21"/>
        </w:rPr>
        <w:t xml:space="preserve"/>
      </w:r>
    </w:p>
    <w:p>
      <w:pPr>
        <w:pStyle w:val="Heading2"/>
        <w:spacing w:after="160" w:before="280"/>
      </w:pPr>
      <w:r>
        <w:rPr>
          <w:rFonts w:ascii="Arial" w:cs="Arial" w:eastAsia="Arial" w:hAnsi="Arial"/>
          <w:b/>
          <w:bCs/>
          <w:color w:val="2E75B6"/>
          <w:sz w:val="26"/>
          <w:szCs w:val="26"/>
        </w:rPr>
        <w:t xml:space="preserve">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6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46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id</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UUID</w:t>
            </w:r>
          </w:p>
        </w:tc>
        <w:tc>
          <w:tcPr>
            <w:tcW w:type="dxa" w:w="5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Primary key</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property_id</w:t>
            </w:r>
          </w:p>
        </w:tc>
        <w:tc>
          <w:tcPr>
            <w:tcW w:type="dxa" w:w="1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UUID (FK)</w:t>
            </w:r>
          </w:p>
        </w:tc>
        <w:tc>
          <w:tcPr>
            <w:tcW w:type="dxa" w:w="54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Which property this lead is for</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source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enum</w:t>
            </w:r>
          </w:p>
        </w:tc>
        <w:tc>
          <w:tcPr>
            <w:tcW w:type="dxa" w:w="5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zillow | apartments_com | website | walk_in | referral | social | other</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status</w:t>
            </w:r>
          </w:p>
        </w:tc>
        <w:tc>
          <w:tcPr>
            <w:tcW w:type="dxa" w:w="1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enum</w:t>
            </w:r>
          </w:p>
        </w:tc>
        <w:tc>
          <w:tcPr>
            <w:tcW w:type="dxa" w:w="54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new | contacted | tour_scheduled | toured | applied | approved | lease_signed | moved_in | lost</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assigned_agent_id</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UUID (FK)</w:t>
            </w:r>
          </w:p>
        </w:tc>
        <w:tc>
          <w:tcPr>
            <w:tcW w:type="dxa" w:w="5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Which leasing agent owns this lead</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first_contact_at</w:t>
            </w:r>
          </w:p>
        </w:tc>
        <w:tc>
          <w:tcPr>
            <w:tcW w:type="dxa" w:w="1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timestamp</w:t>
            </w:r>
          </w:p>
        </w:tc>
        <w:tc>
          <w:tcPr>
            <w:tcW w:type="dxa" w:w="54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When the agent first responded (for SLA tracking)</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created_at</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timestamp</w:t>
            </w:r>
          </w:p>
        </w:tc>
        <w:tc>
          <w:tcPr>
            <w:tcW w:type="dxa" w:w="5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When the lead entered the system</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lost_reason</w:t>
            </w:r>
          </w:p>
        </w:tc>
        <w:tc>
          <w:tcPr>
            <w:tcW w:type="dxa" w:w="1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text</w:t>
            </w:r>
          </w:p>
        </w:tc>
        <w:tc>
          <w:tcPr>
            <w:tcW w:type="dxa" w:w="54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Why the lead was lost (price, location, timing, competitor, etc.)</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desired_unit_type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text</w:t>
            </w:r>
          </w:p>
        </w:tc>
        <w:tc>
          <w:tcPr>
            <w:tcW w:type="dxa" w:w="5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What floor plan the prospect wants</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desired_move_in</w:t>
            </w:r>
          </w:p>
        </w:tc>
        <w:tc>
          <w:tcPr>
            <w:tcW w:type="dxa" w:w="1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date</w:t>
            </w:r>
          </w:p>
        </w:tc>
        <w:tc>
          <w:tcPr>
            <w:tcW w:type="dxa" w:w="54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Target move-in date</w:t>
            </w:r>
          </w:p>
        </w:tc>
      </w:tr>
    </w:tbl>
    <w:p>
      <w:pPr>
        <w:spacing w:after="160" w:line="276"/>
      </w:pPr>
      <w:r>
        <w:rPr>
          <w:rFonts w:ascii="Arial" w:cs="Arial" w:eastAsia="Arial" w:hAnsi="Arial"/>
          <w:color w:val="333333"/>
          <w:sz w:val="21"/>
          <w:szCs w:val="21"/>
        </w:rPr>
        <w:t xml:space="preserve"/>
      </w:r>
    </w:p>
    <w:p>
      <w:pPr>
        <w:pStyle w:val="Heading2"/>
        <w:spacing w:after="160" w:before="280"/>
      </w:pPr>
      <w:r>
        <w:rPr>
          <w:rFonts w:ascii="Arial" w:cs="Arial" w:eastAsia="Arial" w:hAnsi="Arial"/>
          <w:b/>
          <w:bCs/>
          <w:color w:val="2E75B6"/>
          <w:sz w:val="26"/>
          <w:szCs w:val="26"/>
        </w:rPr>
        <w:t xml:space="preserve">Additional Core Tables</w:t>
      </w:r>
    </w:p>
    <w:p>
      <w:pPr>
        <w:spacing w:after="160" w:line="276"/>
      </w:pPr>
      <w:r>
        <w:rPr>
          <w:rFonts w:ascii="Arial" w:cs="Arial" w:eastAsia="Arial" w:hAnsi="Arial"/>
          <w:color w:val="333333"/>
          <w:sz w:val="21"/>
          <w:szCs w:val="21"/>
        </w:rPr>
        <w:t xml:space="preserve">The full schema also includes: Leases (linking leads to units with lease terms, concessions, and rent amounts), Concessions (type, amount, unit, approval status), Lead Activities (timestamped log of every touchpoint: call, email, tour, follow-up), Agents (leasing agent profiles with performance metrics), and Management Companies (company profiles that can be swapped without losing historical data).</w:t>
      </w:r>
    </w:p>
    <w:p>
      <w:r>
        <w:br w:type="page"/>
      </w:r>
    </w:p>
    <w:p>
      <w:pPr>
        <w:pStyle w:val="Heading1"/>
        <w:spacing w:after="200" w:before="360"/>
      </w:pPr>
      <w:r>
        <w:rPr>
          <w:rFonts w:ascii="Arial" w:cs="Arial" w:eastAsia="Arial" w:hAnsi="Arial"/>
          <w:b/>
          <w:bCs/>
          <w:color w:val="1B2A4A"/>
          <w:sz w:val="32"/>
          <w:szCs w:val="32"/>
        </w:rPr>
        <w:t xml:space="preserve">7. Integration Architecture</w:t>
      </w:r>
    </w:p>
    <w:p>
      <w:pPr>
        <w:spacing w:after="160" w:line="276"/>
      </w:pPr>
      <w:r>
        <w:rPr>
          <w:rFonts w:ascii="Arial" w:cs="Arial" w:eastAsia="Arial" w:hAnsi="Arial"/>
          <w:color w:val="333333"/>
          <w:sz w:val="21"/>
          <w:szCs w:val="21"/>
        </w:rPr>
        <w:t xml:space="preserve">LeaseUp pulls data from external sources and pushes insights to stakeholders. The integration strategy prioritizes reliability and real-time data capture.</w:t>
      </w:r>
    </w:p>
    <w:p>
      <w:pPr>
        <w:pStyle w:val="Heading2"/>
        <w:spacing w:after="160" w:before="280"/>
      </w:pPr>
      <w:r>
        <w:rPr>
          <w:rFonts w:ascii="Arial" w:cs="Arial" w:eastAsia="Arial" w:hAnsi="Arial"/>
          <w:b/>
          <w:bCs/>
          <w:color w:val="2E75B6"/>
          <w:sz w:val="26"/>
          <w:szCs w:val="26"/>
        </w:rPr>
        <w:t xml:space="preserve">Inbound Lead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58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Method</w:t>
            </w:r>
          </w:p>
        </w:tc>
        <w:tc>
          <w:tcPr>
            <w:tcW w:type="dxa" w:w="358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Zillow / Trulia</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Zillow Rental Manager API + email parsing</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API for listings. Email parsing for lead capture (Zillow emails leads to the property).</w:t>
            </w:r>
          </w:p>
        </w:tc>
      </w:tr>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Apartments.com</w:t>
            </w:r>
          </w:p>
        </w:tc>
        <w:tc>
          <w:tcPr>
            <w:tcW w:type="dxa" w:w="35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CoStar API or email parsing</w:t>
            </w:r>
          </w:p>
        </w:tc>
        <w:tc>
          <w:tcPr>
            <w:tcW w:type="dxa" w:w="35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CoStar (parent company) has API access for partners. Email parsing as fallback.</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Property Website</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Embedded form widget or webhook</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JavaScript widget that drops into any property website. Captures leads directly.</w:t>
            </w:r>
          </w:p>
        </w:tc>
      </w:tr>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Walk-Ins</w:t>
            </w:r>
          </w:p>
        </w:tc>
        <w:tc>
          <w:tcPr>
            <w:tcW w:type="dxa" w:w="35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Mobile app / tablet kiosk entry</w:t>
            </w:r>
          </w:p>
        </w:tc>
        <w:tc>
          <w:tcPr>
            <w:tcW w:type="dxa" w:w="35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Leasing agents log walk-in prospects via mobile interface at the leasing office.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Social / Ads</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UTM tracking + form captures</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Track which ad campaigns drive leads through to signed leases.</w:t>
            </w:r>
          </w:p>
        </w:tc>
      </w:tr>
    </w:tbl>
    <w:p>
      <w:pPr>
        <w:spacing w:after="160" w:line="276"/>
      </w:pPr>
      <w:r>
        <w:rPr>
          <w:rFonts w:ascii="Arial" w:cs="Arial" w:eastAsia="Arial" w:hAnsi="Arial"/>
          <w:color w:val="333333"/>
          <w:sz w:val="21"/>
          <w:szCs w:val="21"/>
        </w:rPr>
        <w:t xml:space="preserve"/>
      </w:r>
    </w:p>
    <w:p>
      <w:pPr>
        <w:pStyle w:val="Heading2"/>
        <w:spacing w:after="160" w:before="280"/>
      </w:pPr>
      <w:r>
        <w:rPr>
          <w:rFonts w:ascii="Arial" w:cs="Arial" w:eastAsia="Arial" w:hAnsi="Arial"/>
          <w:b/>
          <w:bCs/>
          <w:color w:val="2E75B6"/>
          <w:sz w:val="26"/>
          <w:szCs w:val="26"/>
        </w:rPr>
        <w:t xml:space="preserve">Outbound Integrations</w:t>
      </w:r>
    </w:p>
    <w:p>
      <w:pPr>
        <w:pStyle w:val="ListParagraph"/>
        <w:numPr>
          <w:ilvl w:val="0"/>
          <w:numId w:val="2"/>
        </w:numPr>
        <w:spacing w:after="100" w:line="276"/>
      </w:pPr>
      <w:r>
        <w:rPr>
          <w:rFonts w:ascii="Arial" w:cs="Arial" w:eastAsia="Arial" w:hAnsi="Arial"/>
          <w:b/>
          <w:bCs/>
          <w:color w:val="333333"/>
          <w:sz w:val="21"/>
          <w:szCs w:val="21"/>
        </w:rPr>
        <w:t xml:space="preserve">PMS Sync: </w:t>
      </w:r>
      <w:r>
        <w:rPr>
          <w:rFonts w:ascii="Arial" w:cs="Arial" w:eastAsia="Arial" w:hAnsi="Arial"/>
          <w:color w:val="333333"/>
          <w:sz w:val="21"/>
          <w:szCs w:val="21"/>
        </w:rPr>
        <w:t xml:space="preserve">Read-only data pull from AppFolio/Buildium/RentManager to capture lease data, rent rolls, and move-in dates without requiring the PM to change their workflow.</w:t>
      </w:r>
    </w:p>
    <w:p>
      <w:pPr>
        <w:pStyle w:val="ListParagraph"/>
        <w:numPr>
          <w:ilvl w:val="0"/>
          <w:numId w:val="2"/>
        </w:numPr>
        <w:spacing w:after="100" w:line="276"/>
      </w:pPr>
      <w:r>
        <w:rPr>
          <w:rFonts w:ascii="Arial" w:cs="Arial" w:eastAsia="Arial" w:hAnsi="Arial"/>
          <w:b/>
          <w:bCs/>
          <w:color w:val="333333"/>
          <w:sz w:val="21"/>
          <w:szCs w:val="21"/>
        </w:rPr>
        <w:t xml:space="preserve">Email/SMS Alerts: </w:t>
      </w:r>
      <w:r>
        <w:rPr>
          <w:rFonts w:ascii="Arial" w:cs="Arial" w:eastAsia="Arial" w:hAnsi="Arial"/>
          <w:color w:val="333333"/>
          <w:sz w:val="21"/>
          <w:szCs w:val="21"/>
        </w:rPr>
        <w:t xml:space="preserve">Automated notifications to developers when velocity drops below target, leads go uncontacted past SLA, or concession budgets are exceeded.</w:t>
      </w:r>
    </w:p>
    <w:p>
      <w:pPr>
        <w:pStyle w:val="ListParagraph"/>
        <w:numPr>
          <w:ilvl w:val="0"/>
          <w:numId w:val="2"/>
        </w:numPr>
        <w:spacing w:after="100" w:line="276"/>
      </w:pPr>
      <w:r>
        <w:rPr>
          <w:rFonts w:ascii="Arial" w:cs="Arial" w:eastAsia="Arial" w:hAnsi="Arial"/>
          <w:b/>
          <w:bCs/>
          <w:color w:val="333333"/>
          <w:sz w:val="21"/>
          <w:szCs w:val="21"/>
        </w:rPr>
        <w:t xml:space="preserve">Stripe Connect: </w:t>
      </w:r>
      <w:r>
        <w:rPr>
          <w:rFonts w:ascii="Arial" w:cs="Arial" w:eastAsia="Arial" w:hAnsi="Arial"/>
          <w:color w:val="333333"/>
          <w:sz w:val="21"/>
          <w:szCs w:val="21"/>
        </w:rPr>
        <w:t xml:space="preserve">Payment processing for application fees, security deposits, and rent. Platform collects processing fee on each transaction.</w:t>
      </w:r>
    </w:p>
    <w:p>
      <w:pPr>
        <w:pStyle w:val="ListParagraph"/>
        <w:numPr>
          <w:ilvl w:val="0"/>
          <w:numId w:val="2"/>
        </w:numPr>
        <w:spacing w:after="100" w:line="276"/>
      </w:pPr>
      <w:r>
        <w:rPr>
          <w:rFonts w:ascii="Arial" w:cs="Arial" w:eastAsia="Arial" w:hAnsi="Arial"/>
          <w:b/>
          <w:bCs/>
          <w:color w:val="333333"/>
          <w:sz w:val="21"/>
          <w:szCs w:val="21"/>
        </w:rPr>
        <w:t xml:space="preserve">Reporting Export: </w:t>
      </w:r>
      <w:r>
        <w:rPr>
          <w:rFonts w:ascii="Arial" w:cs="Arial" w:eastAsia="Arial" w:hAnsi="Arial"/>
          <w:color w:val="333333"/>
          <w:sz w:val="21"/>
          <w:szCs w:val="21"/>
        </w:rPr>
        <w:t xml:space="preserve">PDF/Excel export of weekly and monthly reports for lender reporting and investor updates.</w:t>
      </w:r>
    </w:p>
    <w:p>
      <w:r>
        <w:br w:type="page"/>
      </w:r>
    </w:p>
    <w:p>
      <w:pPr>
        <w:pStyle w:val="Heading1"/>
        <w:spacing w:after="200" w:before="360"/>
      </w:pPr>
      <w:r>
        <w:rPr>
          <w:rFonts w:ascii="Arial" w:cs="Arial" w:eastAsia="Arial" w:hAnsi="Arial"/>
          <w:b/>
          <w:bCs/>
          <w:color w:val="1B2A4A"/>
          <w:sz w:val="32"/>
          <w:szCs w:val="32"/>
        </w:rPr>
        <w:t xml:space="preserve">8. MVP Roadmap</w:t>
      </w:r>
    </w:p>
    <w:p>
      <w:pPr>
        <w:spacing w:after="160" w:line="276"/>
      </w:pPr>
      <w:r>
        <w:rPr>
          <w:rFonts w:ascii="Arial" w:cs="Arial" w:eastAsia="Arial" w:hAnsi="Arial"/>
          <w:color w:val="333333"/>
          <w:sz w:val="21"/>
          <w:szCs w:val="21"/>
        </w:rPr>
        <w:t xml:space="preserve">Phased approach to get to market fast with a usable product, then layer on sophistication.</w:t>
      </w:r>
    </w:p>
    <w:p>
      <w:pPr>
        <w:pStyle w:val="Heading2"/>
        <w:spacing w:after="160" w:before="280"/>
      </w:pPr>
      <w:r>
        <w:rPr>
          <w:rFonts w:ascii="Arial" w:cs="Arial" w:eastAsia="Arial" w:hAnsi="Arial"/>
          <w:b/>
          <w:bCs/>
          <w:color w:val="2E75B6"/>
          <w:sz w:val="26"/>
          <w:szCs w:val="26"/>
        </w:rPr>
        <w:t xml:space="preserve">Phase 1: Foundation (Weeks 1–4)</w:t>
      </w:r>
    </w:p>
    <w:p>
      <w:pPr>
        <w:spacing w:after="160" w:line="276"/>
      </w:pPr>
      <w:r>
        <w:rPr>
          <w:rFonts w:ascii="Arial" w:cs="Arial" w:eastAsia="Arial" w:hAnsi="Arial"/>
          <w:color w:val="333333"/>
          <w:sz w:val="21"/>
          <w:szCs w:val="21"/>
        </w:rPr>
        <w:t xml:space="preserve">Get the core data model running with manual data entry. This phase is about proving the value of the dashboard itself.</w:t>
      </w:r>
    </w:p>
    <w:p>
      <w:pPr>
        <w:pStyle w:val="ListParagraph"/>
        <w:numPr>
          <w:ilvl w:val="0"/>
          <w:numId w:val="6"/>
        </w:numPr>
        <w:spacing w:after="80"/>
      </w:pPr>
      <w:r>
        <w:rPr>
          <w:rFonts w:ascii="Arial" w:cs="Arial" w:eastAsia="Arial" w:hAnsi="Arial"/>
          <w:sz w:val="21"/>
          <w:szCs w:val="21"/>
        </w:rPr>
        <w:t xml:space="preserve">Set up Next.js + Supabase project with authentication (developer and agent roles).</w:t>
      </w:r>
    </w:p>
    <w:p>
      <w:pPr>
        <w:pStyle w:val="ListParagraph"/>
        <w:numPr>
          <w:ilvl w:val="0"/>
          <w:numId w:val="6"/>
        </w:numPr>
        <w:spacing w:after="80"/>
      </w:pPr>
      <w:r>
        <w:rPr>
          <w:rFonts w:ascii="Arial" w:cs="Arial" w:eastAsia="Arial" w:hAnsi="Arial"/>
          <w:sz w:val="21"/>
          <w:szCs w:val="21"/>
        </w:rPr>
        <w:t xml:space="preserve">Build the property setup flow (enter building details, unit mix, carry costs, absorption schedule).</w:t>
      </w:r>
    </w:p>
    <w:p>
      <w:pPr>
        <w:pStyle w:val="ListParagraph"/>
        <w:numPr>
          <w:ilvl w:val="0"/>
          <w:numId w:val="6"/>
        </w:numPr>
        <w:spacing w:after="80"/>
      </w:pPr>
      <w:r>
        <w:rPr>
          <w:rFonts w:ascii="Arial" w:cs="Arial" w:eastAsia="Arial" w:hAnsi="Arial"/>
          <w:sz w:val="21"/>
          <w:szCs w:val="21"/>
        </w:rPr>
        <w:t xml:space="preserve">Build the velocity dashboard (planned vs. actual absorption chart, occupancy %, projected stabilization date).</w:t>
      </w:r>
    </w:p>
    <w:p>
      <w:pPr>
        <w:pStyle w:val="ListParagraph"/>
        <w:numPr>
          <w:ilvl w:val="0"/>
          <w:numId w:val="6"/>
        </w:numPr>
        <w:spacing w:after="80"/>
      </w:pPr>
      <w:r>
        <w:rPr>
          <w:rFonts w:ascii="Arial" w:cs="Arial" w:eastAsia="Arial" w:hAnsi="Arial"/>
          <w:sz w:val="21"/>
          <w:szCs w:val="21"/>
        </w:rPr>
        <w:t xml:space="preserve">Build manual lead entry and basic pipeline view (kanban or table of leads by status).</w:t>
      </w:r>
    </w:p>
    <w:p>
      <w:pPr>
        <w:pStyle w:val="ListParagraph"/>
        <w:numPr>
          <w:ilvl w:val="0"/>
          <w:numId w:val="6"/>
        </w:numPr>
        <w:spacing w:after="80"/>
      </w:pPr>
      <w:r>
        <w:rPr>
          <w:rFonts w:ascii="Arial" w:cs="Arial" w:eastAsia="Arial" w:hAnsi="Arial"/>
          <w:sz w:val="21"/>
          <w:szCs w:val="21"/>
        </w:rPr>
        <w:t xml:space="preserve">Deploy to Vercel. You now have a working app you can demo to developers.</w:t>
      </w:r>
    </w:p>
    <w:p>
      <w:pPr>
        <w:pStyle w:val="Heading2"/>
        <w:spacing w:after="160" w:before="280"/>
      </w:pPr>
      <w:r>
        <w:rPr>
          <w:rFonts w:ascii="Arial" w:cs="Arial" w:eastAsia="Arial" w:hAnsi="Arial"/>
          <w:b/>
          <w:bCs/>
          <w:color w:val="2E75B6"/>
          <w:sz w:val="26"/>
          <w:szCs w:val="26"/>
        </w:rPr>
        <w:t xml:space="preserve">Phase 2: Intelligence (Weeks 5–8)</w:t>
      </w:r>
    </w:p>
    <w:p>
      <w:pPr>
        <w:spacing w:after="160" w:line="276"/>
      </w:pPr>
      <w:r>
        <w:rPr>
          <w:rFonts w:ascii="Arial" w:cs="Arial" w:eastAsia="Arial" w:hAnsi="Arial"/>
          <w:color w:val="333333"/>
          <w:sz w:val="21"/>
          <w:szCs w:val="21"/>
        </w:rPr>
        <w:t xml:space="preserve">Add the accountability and financial layers that differentiate LeaseUp from a spreadsheet.</w:t>
      </w:r>
    </w:p>
    <w:p>
      <w:pPr>
        <w:pStyle w:val="ListParagraph"/>
        <w:numPr>
          <w:ilvl w:val="0"/>
          <w:numId w:val="7"/>
        </w:numPr>
        <w:spacing w:after="80"/>
      </w:pPr>
      <w:r>
        <w:rPr>
          <w:rFonts w:ascii="Arial" w:cs="Arial" w:eastAsia="Arial" w:hAnsi="Arial"/>
          <w:sz w:val="21"/>
          <w:szCs w:val="21"/>
        </w:rPr>
        <w:t xml:space="preserve">Agent performance dashboard (response times, conversion rates, activity logs).</w:t>
      </w:r>
    </w:p>
    <w:p>
      <w:pPr>
        <w:pStyle w:val="ListParagraph"/>
        <w:numPr>
          <w:ilvl w:val="0"/>
          <w:numId w:val="7"/>
        </w:numPr>
        <w:spacing w:after="80"/>
      </w:pPr>
      <w:r>
        <w:rPr>
          <w:rFonts w:ascii="Arial" w:cs="Arial" w:eastAsia="Arial" w:hAnsi="Arial"/>
          <w:sz w:val="21"/>
          <w:szCs w:val="21"/>
        </w:rPr>
        <w:t xml:space="preserve">Concession tracking module (log concessions by unit, calculate effective rent, track budget burn).</w:t>
      </w:r>
    </w:p>
    <w:p>
      <w:pPr>
        <w:pStyle w:val="ListParagraph"/>
        <w:numPr>
          <w:ilvl w:val="0"/>
          <w:numId w:val="7"/>
        </w:numPr>
        <w:spacing w:after="80"/>
      </w:pPr>
      <w:r>
        <w:rPr>
          <w:rFonts w:ascii="Arial" w:cs="Arial" w:eastAsia="Arial" w:hAnsi="Arial"/>
          <w:sz w:val="21"/>
          <w:szCs w:val="21"/>
        </w:rPr>
        <w:t xml:space="preserve">Email-based lead capture (parse incoming emails from Zillow/Apartments.com into the lead pipeline).</w:t>
      </w:r>
    </w:p>
    <w:p>
      <w:pPr>
        <w:pStyle w:val="ListParagraph"/>
        <w:numPr>
          <w:ilvl w:val="0"/>
          <w:numId w:val="7"/>
        </w:numPr>
        <w:spacing w:after="80"/>
      </w:pPr>
      <w:r>
        <w:rPr>
          <w:rFonts w:ascii="Arial" w:cs="Arial" w:eastAsia="Arial" w:hAnsi="Arial"/>
          <w:sz w:val="21"/>
          <w:szCs w:val="21"/>
        </w:rPr>
        <w:t xml:space="preserve">Weekly automated report generation (PDF summary emailed to developer).</w:t>
      </w:r>
    </w:p>
    <w:p>
      <w:pPr>
        <w:pStyle w:val="Heading2"/>
        <w:spacing w:after="160" w:before="280"/>
      </w:pPr>
      <w:r>
        <w:rPr>
          <w:rFonts w:ascii="Arial" w:cs="Arial" w:eastAsia="Arial" w:hAnsi="Arial"/>
          <w:b/>
          <w:bCs/>
          <w:color w:val="2E75B6"/>
          <w:sz w:val="26"/>
          <w:szCs w:val="26"/>
        </w:rPr>
        <w:t xml:space="preserve">Phase 3: Scale (Weeks 9–12)</w:t>
      </w:r>
    </w:p>
    <w:p>
      <w:pPr>
        <w:spacing w:after="160" w:line="276"/>
      </w:pPr>
      <w:r>
        <w:rPr>
          <w:rFonts w:ascii="Arial" w:cs="Arial" w:eastAsia="Arial" w:hAnsi="Arial"/>
          <w:color w:val="333333"/>
          <w:sz w:val="21"/>
          <w:szCs w:val="21"/>
        </w:rPr>
        <w:t xml:space="preserve">Payment processing and integrations that create revenue and stickiness.</w:t>
      </w:r>
    </w:p>
    <w:p>
      <w:pPr>
        <w:pStyle w:val="ListParagraph"/>
        <w:numPr>
          <w:ilvl w:val="0"/>
          <w:numId w:val="8"/>
        </w:numPr>
        <w:spacing w:after="80"/>
      </w:pPr>
      <w:r>
        <w:rPr>
          <w:rFonts w:ascii="Arial" w:cs="Arial" w:eastAsia="Arial" w:hAnsi="Arial"/>
          <w:sz w:val="21"/>
          <w:szCs w:val="21"/>
        </w:rPr>
        <w:t xml:space="preserve">Stripe Connect integration for tenant payment processing (application fees, deposits, rent).</w:t>
      </w:r>
    </w:p>
    <w:p>
      <w:pPr>
        <w:pStyle w:val="ListParagraph"/>
        <w:numPr>
          <w:ilvl w:val="0"/>
          <w:numId w:val="8"/>
        </w:numPr>
        <w:spacing w:after="80"/>
      </w:pPr>
      <w:r>
        <w:rPr>
          <w:rFonts w:ascii="Arial" w:cs="Arial" w:eastAsia="Arial" w:hAnsi="Arial"/>
          <w:sz w:val="21"/>
          <w:szCs w:val="21"/>
        </w:rPr>
        <w:t xml:space="preserve">Property website widget for direct lead capture.</w:t>
      </w:r>
    </w:p>
    <w:p>
      <w:pPr>
        <w:pStyle w:val="ListParagraph"/>
        <w:numPr>
          <w:ilvl w:val="0"/>
          <w:numId w:val="8"/>
        </w:numPr>
        <w:spacing w:after="80"/>
      </w:pPr>
      <w:r>
        <w:rPr>
          <w:rFonts w:ascii="Arial" w:cs="Arial" w:eastAsia="Arial" w:hAnsi="Arial"/>
          <w:sz w:val="21"/>
          <w:szCs w:val="21"/>
        </w:rPr>
        <w:t xml:space="preserve">Scenario modeling tool (what-if analysis on concessions, pricing, and timeline).</w:t>
      </w:r>
    </w:p>
    <w:p>
      <w:pPr>
        <w:pStyle w:val="ListParagraph"/>
        <w:numPr>
          <w:ilvl w:val="0"/>
          <w:numId w:val="8"/>
        </w:numPr>
        <w:spacing w:after="80"/>
      </w:pPr>
      <w:r>
        <w:rPr>
          <w:rFonts w:ascii="Arial" w:cs="Arial" w:eastAsia="Arial" w:hAnsi="Arial"/>
          <w:sz w:val="21"/>
          <w:szCs w:val="21"/>
        </w:rPr>
        <w:t xml:space="preserve">Multi-property portfolio view for developers with multiple concurrent lease-ups.</w:t>
      </w:r>
    </w:p>
    <w:p>
      <w:pPr>
        <w:pStyle w:val="ListParagraph"/>
        <w:numPr>
          <w:ilvl w:val="0"/>
          <w:numId w:val="8"/>
        </w:numPr>
        <w:spacing w:after="80"/>
      </w:pPr>
      <w:r>
        <w:rPr>
          <w:rFonts w:ascii="Arial" w:cs="Arial" w:eastAsia="Arial" w:hAnsi="Arial"/>
          <w:sz w:val="21"/>
          <w:szCs w:val="21"/>
        </w:rPr>
        <w:t xml:space="preserve">Subscription billing ($1/unit/month via Stripe).</w:t>
      </w:r>
    </w:p>
    <w:p>
      <w:r>
        <w:br w:type="page"/>
      </w:r>
    </w:p>
    <w:p>
      <w:pPr>
        <w:pStyle w:val="Heading1"/>
        <w:spacing w:after="200" w:before="360"/>
      </w:pPr>
      <w:r>
        <w:rPr>
          <w:rFonts w:ascii="Arial" w:cs="Arial" w:eastAsia="Arial" w:hAnsi="Arial"/>
          <w:b/>
          <w:bCs/>
          <w:color w:val="1B2A4A"/>
          <w:sz w:val="32"/>
          <w:szCs w:val="32"/>
        </w:rPr>
        <w:t xml:space="preserve">9. Pricing &amp; Revenue Model</w:t>
      </w:r>
    </w:p>
    <w:p>
      <w:pPr>
        <w:pStyle w:val="Heading2"/>
        <w:spacing w:after="160" w:before="280"/>
      </w:pPr>
      <w:r>
        <w:rPr>
          <w:rFonts w:ascii="Arial" w:cs="Arial" w:eastAsia="Arial" w:hAnsi="Arial"/>
          <w:b/>
          <w:bCs/>
          <w:color w:val="2E75B6"/>
          <w:sz w:val="26"/>
          <w:szCs w:val="26"/>
        </w:rPr>
        <w:t xml:space="preserve">Subscription Revenue</w:t>
      </w:r>
    </w:p>
    <w:p>
      <w:pPr>
        <w:spacing w:after="160" w:line="276"/>
      </w:pPr>
      <w:r>
        <w:rPr>
          <w:rFonts w:ascii="Arial" w:cs="Arial" w:eastAsia="Arial" w:hAnsi="Arial"/>
          <w:color w:val="333333"/>
          <w:sz w:val="21"/>
          <w:szCs w:val="21"/>
        </w:rPr>
        <w:t xml:space="preserve">$1/unit/month. Simple, predictable, and scales naturally with the size of the property. A 200-unit building pays $200/month. A developer with three concurrent lease-ups totaling 600 units pays $600/month. The price point is low enough to be a rounding error on a development pro forma, but at portfolio scale it creates meaningful recurring revenue.</w:t>
      </w:r>
    </w:p>
    <w:p>
      <w:pPr>
        <w:pStyle w:val="Heading2"/>
        <w:spacing w:after="160" w:before="280"/>
      </w:pPr>
      <w:r>
        <w:rPr>
          <w:rFonts w:ascii="Arial" w:cs="Arial" w:eastAsia="Arial" w:hAnsi="Arial"/>
          <w:b/>
          <w:bCs/>
          <w:color w:val="2E75B6"/>
          <w:sz w:val="26"/>
          <w:szCs w:val="26"/>
        </w:rPr>
        <w:t xml:space="preserve">Payment Processing Revenue</w:t>
      </w:r>
    </w:p>
    <w:p>
      <w:pPr>
        <w:spacing w:after="160" w:line="276"/>
      </w:pPr>
      <w:r>
        <w:rPr>
          <w:rFonts w:ascii="Arial" w:cs="Arial" w:eastAsia="Arial" w:hAnsi="Arial"/>
          <w:color w:val="333333"/>
          <w:sz w:val="21"/>
          <w:szCs w:val="21"/>
        </w:rPr>
        <w:t xml:space="preserve">Stripe Connect enables LeaseUp to process tenant payments (application fees, security deposits, first/last month’s rent) and collect a platform fee on each transaction. Industry-standard processing is 2.9% + $0.30 per transaction. LeaseUp can pass through the Stripe fee and add a small platform markup, or absorb the Stripe fee and charge a flat platform rate.</w:t>
      </w:r>
    </w:p>
    <w:p>
      <w:pPr>
        <w:pStyle w:val="Heading2"/>
        <w:spacing w:after="160" w:before="280"/>
      </w:pPr>
      <w:r>
        <w:rPr>
          <w:rFonts w:ascii="Arial" w:cs="Arial" w:eastAsia="Arial" w:hAnsi="Arial"/>
          <w:b/>
          <w:bCs/>
          <w:color w:val="2E75B6"/>
          <w:sz w:val="26"/>
          <w:szCs w:val="26"/>
        </w:rPr>
        <w:t xml:space="preserve">Revenue Illustration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Conservative (Year 1)</w:t>
            </w:r>
          </w:p>
        </w:tc>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Growth (Year 2)</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Properties on Platform</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15 properties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60 properties</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Avg. Units per Property</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250 units</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250 units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Total Units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3,750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15,000</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Subscription ARR</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$45,000</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$180,000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Est. Payment Processing Rev.</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$30,000–$50,000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$120,000–$200,000</w:t>
            </w:r>
          </w:p>
        </w:tc>
      </w:tr>
      <w:tr>
        <w:tc>
          <w:tcPr>
            <w:tcW w:type="dxa" w:w="312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vAlign w:val="center"/>
          </w:tcPr>
          <w:p>
            <w:r>
              <w:rPr>
                <w:rFonts w:ascii="Arial" w:cs="Arial" w:eastAsia="Arial" w:hAnsi="Arial"/>
                <w:b/>
                <w:bCs/>
                <w:color w:val="333333"/>
                <w:sz w:val="20"/>
                <w:szCs w:val="20"/>
              </w:rPr>
              <w:t xml:space="preserve">Total Estimated Revenue</w:t>
            </w:r>
          </w:p>
        </w:tc>
        <w:tc>
          <w:tcPr>
            <w:tcW w:type="dxa" w:w="312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vAlign w:val="center"/>
          </w:tcPr>
          <w:p>
            <w:r>
              <w:rPr>
                <w:rFonts w:ascii="Arial" w:cs="Arial" w:eastAsia="Arial" w:hAnsi="Arial"/>
                <w:b/>
                <w:bCs/>
                <w:color w:val="333333"/>
                <w:sz w:val="20"/>
                <w:szCs w:val="20"/>
              </w:rPr>
              <w:t xml:space="preserve">$75,000–$95,000</w:t>
            </w:r>
          </w:p>
        </w:tc>
        <w:tc>
          <w:tcPr>
            <w:tcW w:type="dxa" w:w="3120"/>
            <w:tcBorders>
              <w:top w:val="single" w:color="E0E0E0" w:sz="1"/>
              <w:left w:val="single" w:color="E0E0E0" w:sz="1"/>
              <w:bottom w:val="single" w:color="E0E0E0" w:sz="1"/>
              <w:right w:val="single" w:color="E0E0E0" w:sz="1"/>
            </w:tcBorders>
            <w:shd w:fill="D5E8F0" w:val="clear"/>
            <w:tcMar>
              <w:top w:type="dxa" w:w="80"/>
              <w:left w:type="dxa" w:w="120"/>
              <w:bottom w:type="dxa" w:w="80"/>
              <w:right w:type="dxa" w:w="120"/>
            </w:tcMar>
            <w:vAlign w:val="center"/>
          </w:tcPr>
          <w:p>
            <w:r>
              <w:rPr>
                <w:rFonts w:ascii="Arial" w:cs="Arial" w:eastAsia="Arial" w:hAnsi="Arial"/>
                <w:b/>
                <w:bCs/>
                <w:color w:val="333333"/>
                <w:sz w:val="20"/>
                <w:szCs w:val="20"/>
              </w:rPr>
              <w:t xml:space="preserve">$300,000–$380,000</w:t>
            </w:r>
          </w:p>
        </w:tc>
      </w:tr>
    </w:tbl>
    <w:p>
      <w:pPr>
        <w:spacing w:after="160" w:line="276"/>
      </w:pPr>
      <w:r>
        <w:rPr>
          <w:rFonts w:ascii="Arial" w:cs="Arial" w:eastAsia="Arial" w:hAnsi="Arial"/>
          <w:color w:val="333333"/>
          <w:sz w:val="21"/>
          <w:szCs w:val="21"/>
        </w:rPr>
        <w:t xml:space="preserve"/>
      </w:r>
    </w:p>
    <w:p>
      <w:pPr>
        <w:pStyle w:val="Heading1"/>
        <w:spacing w:after="200" w:before="360"/>
      </w:pPr>
      <w:r>
        <w:rPr>
          <w:rFonts w:ascii="Arial" w:cs="Arial" w:eastAsia="Arial" w:hAnsi="Arial"/>
          <w:b/>
          <w:bCs/>
          <w:color w:val="1B2A4A"/>
          <w:sz w:val="32"/>
          <w:szCs w:val="32"/>
        </w:rPr>
        <w:t xml:space="preserve">10.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ILS API access restricted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Can’t auto-capture leads from Zillow/Apartments.com</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Email parsing as fallback. Start with manual entry + email, add APIs as partnerships develop.</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PM company resistance</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Management companies may resist transparency</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Position as a tool for the developer, not against the PM. Good PMs will welcome the data.</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Market cycle downturn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Fewer new developments = smaller market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Expand to value-add repositioning (re-lease-up after renovation). Market is cyclical but never zero.</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b/>
                <w:bCs/>
                <w:color w:val="333333"/>
                <w:sz w:val="20"/>
                <w:szCs w:val="20"/>
              </w:rPr>
              <w:t xml:space="preserve">Incumbent response</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AppFolio builds lease-up features</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vAlign w:val="center"/>
          </w:tcPr>
          <w:p>
            <w:r>
              <w:rPr>
                <w:rFonts w:ascii="Arial" w:cs="Arial" w:eastAsia="Arial" w:hAnsi="Arial"/>
                <w:color w:val="333333"/>
                <w:sz w:val="20"/>
                <w:szCs w:val="20"/>
              </w:rPr>
              <w:t xml:space="preserve">Your advantage is domain expertise and speed. Incumbents are slow to serve niche use cases. Build the network effect (benchmarking data) before they move.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Solo founder capacity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Building alone is slower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color w:val="333333"/>
                <w:sz w:val="20"/>
                <w:szCs w:val="20"/>
              </w:rPr>
              <w:t xml:space="preserve">MVP-first approach. Ship Phase 1 fast. Use early revenue/traction to attract a technical co-founder or first hire.</w:t>
            </w:r>
          </w:p>
        </w:tc>
      </w:tr>
    </w:tbl>
    <w:p>
      <w:pPr>
        <w:spacing w:after="160" w:line="276"/>
      </w:pPr>
      <w:r>
        <w:rPr>
          <w:rFonts w:ascii="Arial" w:cs="Arial" w:eastAsia="Arial" w:hAnsi="Arial"/>
          <w:color w:val="333333"/>
          <w:sz w:val="21"/>
          <w:szCs w:val="21"/>
        </w:rPr>
        <w:t xml:space="preserve"/>
      </w:r>
    </w:p>
    <w:p>
      <w:pPr>
        <w:pBdr>
          <w:top w:val="single" w:color="2E75B6" w:sz="4" w:space="1"/>
        </w:pBdr>
        <w:spacing w:before="400"/>
      </w:pPr>
    </w:p>
    <w:p>
      <w:pPr>
        <w:spacing w:before="200"/>
        <w:jc w:val="center"/>
      </w:pPr>
      <w:r>
        <w:rPr>
          <w:rFonts w:ascii="Arial" w:cs="Arial" w:eastAsia="Arial" w:hAnsi="Arial"/>
          <w:i/>
          <w:iCs/>
          <w:color w:val="888888"/>
          <w:sz w:val="20"/>
          <w:szCs w:val="20"/>
        </w:rPr>
        <w:t xml:space="preserve">End of Technical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B2A4A"/>
        <w:sz w:val="18"/>
        <w:szCs w:val="18"/>
      </w:rPr>
      <w:t xml:space="preserve">LeaseUp</w:t>
    </w:r>
    <w:r>
      <w:rPr>
        <w:rFonts w:ascii="Arial" w:cs="Arial" w:eastAsia="Arial" w:hAnsi="Arial"/>
        <w:color w:val="888888"/>
        <w:sz w:val="18"/>
        <w:szCs w:val="18"/>
      </w:rPr>
      <w:t xml:space="preserve">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2026-04-16T00:51:57.148Z</dcterms:created>
  <dcterms:modified xsi:type="dcterms:W3CDTF">2026-04-16T00:51:57.148Z</dcterms:modified>
</cp:coreProperties>
</file>

<file path=docProps/custom.xml><?xml version="1.0" encoding="utf-8"?>
<Properties xmlns="http://schemas.openxmlformats.org/officeDocument/2006/custom-properties" xmlns:vt="http://schemas.openxmlformats.org/officeDocument/2006/docPropsVTypes"/>
</file>